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65F53">
      <w:pPr>
        <w:pStyle w:val="273"/>
        <w:ind w:firstLine="0"/>
        <w:rPr>
          <w:rFonts w:hint="eastAsia" w:eastAsia="黑体"/>
          <w:b/>
          <w:bCs/>
          <w:color w:val="auto"/>
          <w:sz w:val="84"/>
          <w:highlight w:val="none"/>
        </w:rPr>
      </w:pPr>
    </w:p>
    <w:p w14:paraId="267BF703">
      <w:pPr>
        <w:pStyle w:val="273"/>
        <w:keepNext w:val="0"/>
        <w:keepLines w:val="0"/>
        <w:pageBreakBefore w:val="0"/>
        <w:widowControl w:val="0"/>
        <w:kinsoku/>
        <w:wordWrap/>
        <w:overflowPunct/>
        <w:topLinePunct w:val="0"/>
        <w:autoSpaceDE/>
        <w:autoSpaceDN/>
        <w:bidi w:val="0"/>
        <w:adjustRightInd/>
        <w:snapToGrid/>
        <w:spacing w:line="240" w:lineRule="exact"/>
        <w:ind w:firstLine="0"/>
        <w:jc w:val="center"/>
        <w:textAlignment w:val="auto"/>
        <w:rPr>
          <w:rFonts w:hint="eastAsia" w:eastAsia="黑体"/>
          <w:b/>
          <w:bCs/>
          <w:color w:val="auto"/>
          <w:sz w:val="84"/>
          <w:highlight w:val="none"/>
        </w:rPr>
      </w:pPr>
    </w:p>
    <w:p w14:paraId="55DE4B17">
      <w:pPr>
        <w:pStyle w:val="273"/>
        <w:ind w:firstLine="0"/>
        <w:jc w:val="center"/>
        <w:rPr>
          <w:rFonts w:hint="eastAsia" w:eastAsia="黑体"/>
          <w:b/>
          <w:bCs/>
          <w:color w:val="auto"/>
          <w:sz w:val="84"/>
          <w:highlight w:val="none"/>
        </w:rPr>
      </w:pPr>
      <w:r>
        <w:rPr>
          <w:rFonts w:hint="eastAsia" w:eastAsia="黑体"/>
          <w:b/>
          <w:bCs/>
          <w:color w:val="auto"/>
          <w:sz w:val="84"/>
          <w:highlight w:val="none"/>
        </w:rPr>
        <w:t>招　标　文　件</w:t>
      </w:r>
    </w:p>
    <w:p w14:paraId="13878B86">
      <w:pPr>
        <w:pStyle w:val="273"/>
        <w:ind w:firstLine="0"/>
        <w:jc w:val="center"/>
        <w:rPr>
          <w:rFonts w:hint="eastAsia"/>
          <w:b/>
          <w:bCs/>
          <w:color w:val="auto"/>
          <w:sz w:val="32"/>
          <w:highlight w:val="none"/>
        </w:rPr>
      </w:pPr>
    </w:p>
    <w:p w14:paraId="480AECD0">
      <w:pPr>
        <w:pStyle w:val="273"/>
        <w:ind w:firstLine="0"/>
        <w:jc w:val="center"/>
        <w:rPr>
          <w:rFonts w:hint="eastAsia"/>
          <w:b/>
          <w:bCs/>
          <w:color w:val="auto"/>
          <w:sz w:val="32"/>
          <w:highlight w:val="none"/>
        </w:rPr>
      </w:pPr>
    </w:p>
    <w:p w14:paraId="236F3454">
      <w:pPr>
        <w:pStyle w:val="273"/>
        <w:ind w:firstLine="0"/>
        <w:jc w:val="center"/>
        <w:rPr>
          <w:rFonts w:hint="eastAsia"/>
          <w:b/>
          <w:bCs/>
          <w:color w:val="auto"/>
          <w:sz w:val="32"/>
          <w:highlight w:val="none"/>
        </w:rPr>
      </w:pPr>
    </w:p>
    <w:p w14:paraId="18F46B36">
      <w:pPr>
        <w:pStyle w:val="273"/>
        <w:ind w:left="2244" w:hanging="1606"/>
        <w:jc w:val="both"/>
        <w:rPr>
          <w:b/>
          <w:bCs/>
          <w:color w:val="auto"/>
          <w:sz w:val="32"/>
          <w:highlight w:val="none"/>
          <w:lang w:val="en-US" w:eastAsia="zh-CN"/>
        </w:rPr>
      </w:pPr>
      <w:r>
        <w:rPr>
          <w:rFonts w:hint="eastAsia"/>
          <w:b/>
          <w:bCs/>
          <w:color w:val="auto"/>
          <w:sz w:val="32"/>
          <w:highlight w:val="none"/>
        </w:rPr>
        <w:t>项目名称：</w:t>
      </w:r>
      <w:r>
        <w:rPr>
          <w:rFonts w:hint="eastAsia"/>
          <w:b/>
          <w:bCs/>
          <w:color w:val="auto"/>
          <w:sz w:val="32"/>
          <w:highlight w:val="none"/>
          <w:lang w:eastAsia="zh-CN"/>
        </w:rPr>
        <w:t>生物中专2025-2026学年车辆租赁服务</w:t>
      </w:r>
    </w:p>
    <w:p w14:paraId="1478751D">
      <w:pPr>
        <w:ind w:firstLine="643"/>
        <w:rPr>
          <w:rFonts w:hint="eastAsia" w:eastAsia="宋体"/>
          <w:b/>
          <w:color w:val="auto"/>
          <w:sz w:val="30"/>
          <w:szCs w:val="30"/>
          <w:highlight w:val="none"/>
          <w:lang w:val="en-US" w:eastAsia="zh-CN"/>
        </w:rPr>
      </w:pPr>
      <w:r>
        <w:rPr>
          <w:rFonts w:hint="eastAsia"/>
          <w:b/>
          <w:bCs/>
          <w:color w:val="auto"/>
          <w:sz w:val="32"/>
          <w:highlight w:val="none"/>
        </w:rPr>
        <w:t>项目编号：</w:t>
      </w:r>
      <w:r>
        <w:rPr>
          <w:rFonts w:hint="eastAsia"/>
          <w:b/>
          <w:bCs/>
          <w:color w:val="auto"/>
          <w:sz w:val="32"/>
          <w:highlight w:val="none"/>
          <w:lang w:eastAsia="zh-CN"/>
        </w:rPr>
        <w:t>JSZC-320700-SWZD-G2025-000</w:t>
      </w:r>
      <w:r>
        <w:rPr>
          <w:rFonts w:hint="eastAsia"/>
          <w:b/>
          <w:bCs/>
          <w:color w:val="auto"/>
          <w:sz w:val="32"/>
          <w:highlight w:val="none"/>
          <w:lang w:val="en-US" w:eastAsia="zh-CN"/>
        </w:rPr>
        <w:t>6</w:t>
      </w:r>
    </w:p>
    <w:p w14:paraId="786EB446">
      <w:pPr>
        <w:pStyle w:val="273"/>
        <w:spacing w:before="0" w:after="0"/>
        <w:ind w:firstLine="0"/>
        <w:rPr>
          <w:rFonts w:hint="eastAsia" w:ascii="宋体" w:hAnsi="宋体"/>
          <w:color w:val="auto"/>
          <w:highlight w:val="none"/>
        </w:rPr>
      </w:pPr>
    </w:p>
    <w:p w14:paraId="42C09070">
      <w:pPr>
        <w:pStyle w:val="273"/>
        <w:spacing w:before="0" w:after="0"/>
        <w:ind w:firstLine="0"/>
        <w:rPr>
          <w:rFonts w:hint="eastAsia" w:ascii="宋体" w:hAnsi="宋体"/>
          <w:color w:val="auto"/>
          <w:highlight w:val="none"/>
        </w:rPr>
      </w:pPr>
    </w:p>
    <w:p w14:paraId="6A0E7619">
      <w:pPr>
        <w:pStyle w:val="273"/>
        <w:spacing w:before="0" w:after="0"/>
        <w:ind w:firstLine="0"/>
        <w:rPr>
          <w:rFonts w:hint="eastAsia" w:ascii="宋体" w:hAnsi="宋体"/>
          <w:color w:val="auto"/>
          <w:highlight w:val="none"/>
        </w:rPr>
      </w:pPr>
    </w:p>
    <w:p w14:paraId="7FA9E8D3">
      <w:pPr>
        <w:pStyle w:val="273"/>
        <w:spacing w:before="0" w:after="0"/>
        <w:ind w:firstLine="0"/>
        <w:rPr>
          <w:rFonts w:hint="eastAsia" w:ascii="宋体" w:hAnsi="宋体"/>
          <w:color w:val="auto"/>
          <w:highlight w:val="none"/>
        </w:rPr>
      </w:pPr>
    </w:p>
    <w:p w14:paraId="08231F5F">
      <w:pPr>
        <w:pStyle w:val="273"/>
        <w:spacing w:before="0" w:after="0"/>
        <w:ind w:firstLine="0"/>
        <w:rPr>
          <w:rFonts w:hint="eastAsia" w:ascii="宋体" w:hAnsi="宋体"/>
          <w:color w:val="auto"/>
          <w:highlight w:val="none"/>
        </w:rPr>
      </w:pPr>
    </w:p>
    <w:p w14:paraId="2D4B19D5">
      <w:pPr>
        <w:pStyle w:val="273"/>
        <w:spacing w:before="0" w:after="0"/>
        <w:ind w:firstLine="0"/>
        <w:rPr>
          <w:rFonts w:hint="eastAsia" w:ascii="宋体" w:hAnsi="宋体"/>
          <w:color w:val="auto"/>
          <w:highlight w:val="none"/>
        </w:rPr>
      </w:pPr>
    </w:p>
    <w:p w14:paraId="07343BD9">
      <w:pPr>
        <w:pStyle w:val="273"/>
        <w:spacing w:before="0" w:after="0"/>
        <w:ind w:firstLine="0"/>
        <w:rPr>
          <w:rFonts w:hint="eastAsia" w:ascii="宋体" w:hAnsi="宋体"/>
          <w:color w:val="auto"/>
          <w:highlight w:val="none"/>
        </w:rPr>
      </w:pPr>
    </w:p>
    <w:p w14:paraId="356B43B2">
      <w:pPr>
        <w:keepNext w:val="0"/>
        <w:keepLines w:val="0"/>
        <w:pageBreakBefore w:val="0"/>
        <w:widowControl w:val="0"/>
        <w:kinsoku/>
        <w:wordWrap/>
        <w:overflowPunct/>
        <w:topLinePunct w:val="0"/>
        <w:autoSpaceDE/>
        <w:autoSpaceDN/>
        <w:bidi w:val="0"/>
        <w:adjustRightInd/>
        <w:snapToGrid/>
        <w:spacing w:line="640" w:lineRule="exact"/>
        <w:ind w:firstLine="912"/>
        <w:textAlignment w:val="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采   购   人：</w:t>
      </w:r>
      <w:r>
        <w:rPr>
          <w:rFonts w:hint="eastAsia" w:ascii="宋体" w:hAnsi="宋体"/>
          <w:bCs/>
          <w:color w:val="auto"/>
          <w:sz w:val="32"/>
          <w:szCs w:val="32"/>
          <w:highlight w:val="none"/>
          <w:lang w:eastAsia="zh-CN"/>
        </w:rPr>
        <w:t>连云港生物工程中等专业学校</w:t>
      </w:r>
    </w:p>
    <w:p w14:paraId="42A4573E">
      <w:pPr>
        <w:keepNext w:val="0"/>
        <w:keepLines w:val="0"/>
        <w:pageBreakBefore w:val="0"/>
        <w:widowControl w:val="0"/>
        <w:kinsoku/>
        <w:wordWrap/>
        <w:overflowPunct/>
        <w:topLinePunct w:val="0"/>
        <w:autoSpaceDE/>
        <w:autoSpaceDN/>
        <w:bidi w:val="0"/>
        <w:adjustRightInd/>
        <w:snapToGrid/>
        <w:spacing w:line="640" w:lineRule="exact"/>
        <w:ind w:firstLine="912"/>
        <w:textAlignment w:val="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采购代理机构：</w:t>
      </w:r>
      <w:r>
        <w:rPr>
          <w:rFonts w:hint="eastAsia" w:ascii="宋体" w:hAnsi="宋体"/>
          <w:bCs/>
          <w:color w:val="auto"/>
          <w:sz w:val="32"/>
          <w:szCs w:val="32"/>
          <w:highlight w:val="none"/>
          <w:lang w:eastAsia="zh-CN"/>
        </w:rPr>
        <w:t>江苏伟之达项目管理咨询有限公司</w:t>
      </w:r>
    </w:p>
    <w:p w14:paraId="3B6AF334">
      <w:pPr>
        <w:pStyle w:val="273"/>
        <w:keepNext w:val="0"/>
        <w:keepLines w:val="0"/>
        <w:pageBreakBefore w:val="0"/>
        <w:widowControl w:val="0"/>
        <w:kinsoku/>
        <w:wordWrap/>
        <w:overflowPunct/>
        <w:topLinePunct w:val="0"/>
        <w:autoSpaceDE/>
        <w:autoSpaceDN/>
        <w:bidi w:val="0"/>
        <w:adjustRightInd/>
        <w:snapToGrid/>
        <w:spacing w:line="640" w:lineRule="exact"/>
        <w:ind w:firstLine="0"/>
        <w:jc w:val="center"/>
        <w:textAlignment w:val="auto"/>
        <w:rPr>
          <w:rFonts w:hint="eastAsia"/>
          <w:color w:val="auto"/>
          <w:highlight w:val="none"/>
        </w:rPr>
      </w:pPr>
      <w:r>
        <w:rPr>
          <w:rFonts w:hint="eastAsia" w:ascii="宋体" w:hAnsi="宋体" w:cs="宋体"/>
          <w:bCs/>
          <w:color w:val="auto"/>
          <w:sz w:val="32"/>
          <w:szCs w:val="32"/>
          <w:highlight w:val="none"/>
        </w:rPr>
        <w:t>2025年</w:t>
      </w:r>
      <w:r>
        <w:rPr>
          <w:rFonts w:hint="eastAsia" w:ascii="宋体" w:hAnsi="宋体" w:cs="宋体"/>
          <w:bCs/>
          <w:color w:val="auto"/>
          <w:sz w:val="32"/>
          <w:szCs w:val="32"/>
          <w:highlight w:val="none"/>
          <w:lang w:val="en-US" w:eastAsia="zh-CN"/>
        </w:rPr>
        <w:t>10</w:t>
      </w:r>
      <w:r>
        <w:rPr>
          <w:rFonts w:hint="eastAsia" w:ascii="宋体" w:hAnsi="宋体" w:cs="宋体"/>
          <w:bCs/>
          <w:color w:val="auto"/>
          <w:sz w:val="32"/>
          <w:szCs w:val="32"/>
          <w:highlight w:val="none"/>
        </w:rPr>
        <w:t>月</w:t>
      </w:r>
      <w:r>
        <w:rPr>
          <w:rFonts w:hint="eastAsia"/>
          <w:color w:val="auto"/>
          <w:highlight w:val="none"/>
        </w:rPr>
        <w:t xml:space="preserve">                        </w:t>
      </w:r>
    </w:p>
    <w:p w14:paraId="761B0575">
      <w:pPr>
        <w:spacing w:line="480" w:lineRule="auto"/>
        <w:jc w:val="center"/>
        <w:outlineLvl w:val="0"/>
        <w:rPr>
          <w:rFonts w:hint="eastAsia"/>
          <w:color w:val="auto"/>
          <w:highlight w:val="none"/>
        </w:rPr>
        <w:sectPr>
          <w:headerReference r:id="rId5" w:type="first"/>
          <w:headerReference r:id="rId3" w:type="default"/>
          <w:footerReference r:id="rId6" w:type="default"/>
          <w:headerReference r:id="rId4" w:type="even"/>
          <w:footerReference r:id="rId7" w:type="even"/>
          <w:pgSz w:w="11906" w:h="16838"/>
          <w:pgMar w:top="1418" w:right="1588" w:bottom="1418" w:left="1365" w:header="851" w:footer="907" w:gutter="0"/>
          <w:cols w:space="1701" w:num="1"/>
          <w:titlePg/>
          <w:docGrid w:linePitch="360" w:charSpace="0"/>
        </w:sectPr>
      </w:pPr>
      <w:bookmarkStart w:id="0" w:name="_Toc120614210"/>
      <w:bookmarkStart w:id="1" w:name="_Toc479757206"/>
      <w:bookmarkStart w:id="2" w:name="_Toc523127445"/>
      <w:bookmarkStart w:id="3" w:name="_Toc16938516"/>
      <w:bookmarkStart w:id="4" w:name="_Toc20823272"/>
      <w:bookmarkStart w:id="5" w:name="_Toc513029200"/>
    </w:p>
    <w:p w14:paraId="7EF7CC32">
      <w:pPr>
        <w:spacing w:line="480" w:lineRule="auto"/>
        <w:jc w:val="center"/>
        <w:outlineLvl w:val="0"/>
        <w:rPr>
          <w:rFonts w:hint="eastAsia" w:ascii="黑体" w:hAnsi="Arial" w:eastAsia="黑体"/>
          <w:b/>
          <w:color w:val="auto"/>
          <w:sz w:val="44"/>
          <w:highlight w:val="none"/>
        </w:rPr>
      </w:pPr>
      <w:r>
        <w:rPr>
          <w:rFonts w:hint="eastAsia"/>
          <w:color w:val="auto"/>
          <w:highlight w:val="none"/>
        </w:rPr>
        <w:t xml:space="preserve"> </w:t>
      </w:r>
      <w:bookmarkStart w:id="6" w:name="_Toc3486"/>
      <w:bookmarkStart w:id="7" w:name="_Toc2559"/>
      <w:r>
        <w:rPr>
          <w:rFonts w:hint="eastAsia" w:ascii="黑体" w:hAnsi="Arial" w:eastAsia="黑体"/>
          <w:b/>
          <w:color w:val="auto"/>
          <w:sz w:val="44"/>
          <w:highlight w:val="none"/>
        </w:rPr>
        <w:t>总  目  录</w:t>
      </w:r>
      <w:bookmarkEnd w:id="6"/>
      <w:bookmarkEnd w:id="7"/>
    </w:p>
    <w:p w14:paraId="66BDAEFA">
      <w:pPr>
        <w:pStyle w:val="235"/>
        <w:tabs>
          <w:tab w:val="right" w:leader="dot" w:pos="8953"/>
        </w:tabs>
        <w:rPr>
          <w:color w:val="auto"/>
          <w:highlight w:val="none"/>
        </w:rPr>
      </w:pPr>
      <w:r>
        <w:rPr>
          <w:rFonts w:hint="eastAsia" w:ascii="仿宋_GB2312" w:hAnsi="Arial" w:eastAsia="仿宋_GB2312"/>
          <w:b/>
          <w:color w:val="auto"/>
          <w:sz w:val="28"/>
          <w:highlight w:val="none"/>
        </w:rPr>
        <w:fldChar w:fldCharType="begin"/>
      </w:r>
      <w:r>
        <w:rPr>
          <w:rFonts w:hint="eastAsia" w:ascii="仿宋_GB2312" w:hAnsi="Arial" w:eastAsia="仿宋_GB2312"/>
          <w:b/>
          <w:color w:val="auto"/>
          <w:sz w:val="28"/>
          <w:highlight w:val="none"/>
        </w:rPr>
        <w:instrText xml:space="preserve">TOC \o "1-3" \h \u </w:instrText>
      </w:r>
      <w:r>
        <w:rPr>
          <w:rFonts w:hint="eastAsia" w:ascii="仿宋_GB2312" w:hAnsi="Arial" w:eastAsia="仿宋_GB2312"/>
          <w:b/>
          <w:color w:val="auto"/>
          <w:sz w:val="28"/>
          <w:highlight w:val="none"/>
        </w:rPr>
        <w:fldChar w:fldCharType="separate"/>
      </w:r>
    </w:p>
    <w:p w14:paraId="41B35B3A">
      <w:pPr>
        <w:pStyle w:val="235"/>
        <w:tabs>
          <w:tab w:val="right" w:leader="dot" w:pos="8953"/>
        </w:tabs>
        <w:spacing w:line="360" w:lineRule="auto"/>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_Toc2933 </w:instrText>
      </w:r>
      <w:r>
        <w:rPr>
          <w:rFonts w:hint="eastAsia" w:cs="宋体"/>
          <w:color w:val="auto"/>
          <w:highlight w:val="none"/>
        </w:rPr>
        <w:fldChar w:fldCharType="separate"/>
      </w:r>
      <w:r>
        <w:rPr>
          <w:rFonts w:hint="eastAsia" w:cs="宋体"/>
          <w:color w:val="auto"/>
          <w:highlight w:val="none"/>
        </w:rPr>
        <w:t>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_Toc2933 \h </w:instrText>
      </w:r>
      <w:r>
        <w:rPr>
          <w:rFonts w:hint="eastAsia" w:cs="宋体"/>
          <w:color w:val="auto"/>
          <w:highlight w:val="none"/>
        </w:rPr>
        <w:fldChar w:fldCharType="separate"/>
      </w:r>
      <w:r>
        <w:rPr>
          <w:rFonts w:hint="eastAsia" w:cs="宋体"/>
          <w:color w:val="auto"/>
          <w:highlight w:val="none"/>
        </w:rPr>
        <w:t>１</w:t>
      </w:r>
      <w:r>
        <w:rPr>
          <w:rFonts w:hint="eastAsia" w:cs="宋体"/>
          <w:color w:val="auto"/>
          <w:highlight w:val="none"/>
        </w:rPr>
        <w:fldChar w:fldCharType="end"/>
      </w:r>
      <w:r>
        <w:rPr>
          <w:rFonts w:hint="eastAsia" w:cs="宋体"/>
          <w:color w:val="auto"/>
          <w:highlight w:val="none"/>
        </w:rPr>
        <w:fldChar w:fldCharType="end"/>
      </w:r>
    </w:p>
    <w:p w14:paraId="360179B9">
      <w:pPr>
        <w:pStyle w:val="235"/>
        <w:tabs>
          <w:tab w:val="right" w:leader="dot" w:pos="8953"/>
        </w:tabs>
        <w:spacing w:line="360" w:lineRule="auto"/>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_Toc28147 </w:instrText>
      </w:r>
      <w:r>
        <w:rPr>
          <w:rFonts w:hint="eastAsia" w:cs="宋体"/>
          <w:color w:val="auto"/>
          <w:highlight w:val="none"/>
        </w:rPr>
        <w:fldChar w:fldCharType="separate"/>
      </w:r>
      <w:r>
        <w:rPr>
          <w:rFonts w:hint="eastAsia" w:cs="宋体"/>
          <w:color w:val="auto"/>
          <w:highlight w:val="none"/>
        </w:rPr>
        <w:t xml:space="preserve">第二章  </w:t>
      </w:r>
      <w:r>
        <w:rPr>
          <w:rFonts w:hint="eastAsia" w:cs="宋体"/>
          <w:color w:val="auto"/>
          <w:highlight w:val="none"/>
          <w:lang w:eastAsia="zh-CN"/>
        </w:rPr>
        <w:t>供应商</w:t>
      </w:r>
      <w:r>
        <w:rPr>
          <w:rFonts w:hint="eastAsia" w:cs="宋体"/>
          <w:color w:val="auto"/>
          <w:highlight w:val="none"/>
        </w:rPr>
        <w:t>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_Toc28147 \h </w:instrText>
      </w:r>
      <w:r>
        <w:rPr>
          <w:rFonts w:hint="eastAsia" w:cs="宋体"/>
          <w:color w:val="auto"/>
          <w:highlight w:val="none"/>
        </w:rPr>
        <w:fldChar w:fldCharType="separate"/>
      </w:r>
      <w:r>
        <w:rPr>
          <w:rFonts w:hint="eastAsia" w:cs="宋体"/>
          <w:color w:val="auto"/>
          <w:highlight w:val="none"/>
        </w:rPr>
        <w:t>５</w:t>
      </w:r>
      <w:r>
        <w:rPr>
          <w:rFonts w:hint="eastAsia" w:cs="宋体"/>
          <w:color w:val="auto"/>
          <w:highlight w:val="none"/>
        </w:rPr>
        <w:fldChar w:fldCharType="end"/>
      </w:r>
      <w:r>
        <w:rPr>
          <w:rFonts w:hint="eastAsia" w:cs="宋体"/>
          <w:color w:val="auto"/>
          <w:highlight w:val="none"/>
        </w:rPr>
        <w:fldChar w:fldCharType="end"/>
      </w:r>
    </w:p>
    <w:p w14:paraId="3EE6FC56">
      <w:pPr>
        <w:pStyle w:val="235"/>
        <w:tabs>
          <w:tab w:val="right" w:leader="dot" w:pos="8953"/>
        </w:tabs>
        <w:spacing w:line="360" w:lineRule="auto"/>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_Toc20691 </w:instrText>
      </w:r>
      <w:r>
        <w:rPr>
          <w:rFonts w:hint="eastAsia" w:cs="宋体"/>
          <w:color w:val="auto"/>
          <w:highlight w:val="none"/>
        </w:rPr>
        <w:fldChar w:fldCharType="separate"/>
      </w:r>
      <w:r>
        <w:rPr>
          <w:rFonts w:hint="eastAsia" w:cs="宋体"/>
          <w:color w:val="auto"/>
          <w:highlight w:val="none"/>
        </w:rPr>
        <w:t>第三章  合同文本</w:t>
      </w:r>
      <w:r>
        <w:rPr>
          <w:rFonts w:hint="eastAsia" w:cs="宋体"/>
          <w:color w:val="auto"/>
          <w:highlight w:val="none"/>
        </w:rPr>
        <w:tab/>
      </w:r>
      <w:r>
        <w:rPr>
          <w:rFonts w:hint="eastAsia" w:cs="宋体"/>
          <w:color w:val="auto"/>
          <w:highlight w:val="none"/>
          <w:lang w:val="en-US" w:eastAsia="zh-CN"/>
        </w:rPr>
        <w:t>2</w:t>
      </w:r>
      <w:r>
        <w:rPr>
          <w:rFonts w:hint="eastAsia" w:cs="宋体"/>
          <w:color w:val="auto"/>
          <w:highlight w:val="none"/>
        </w:rPr>
        <w:fldChar w:fldCharType="end"/>
      </w:r>
      <w:r>
        <w:rPr>
          <w:rFonts w:hint="eastAsia" w:cs="宋体"/>
          <w:color w:val="auto"/>
          <w:highlight w:val="none"/>
          <w:lang w:val="en-US" w:eastAsia="zh-CN"/>
        </w:rPr>
        <w:t>0</w:t>
      </w:r>
    </w:p>
    <w:p w14:paraId="73C0EEBE">
      <w:pPr>
        <w:pStyle w:val="235"/>
        <w:tabs>
          <w:tab w:val="right" w:leader="dot" w:pos="8953"/>
        </w:tabs>
        <w:spacing w:line="360" w:lineRule="auto"/>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_Toc21086 </w:instrText>
      </w:r>
      <w:r>
        <w:rPr>
          <w:rFonts w:hint="eastAsia" w:cs="宋体"/>
          <w:color w:val="auto"/>
          <w:highlight w:val="none"/>
        </w:rPr>
        <w:fldChar w:fldCharType="separate"/>
      </w:r>
      <w:r>
        <w:rPr>
          <w:rFonts w:hint="eastAsia" w:cs="宋体"/>
          <w:color w:val="auto"/>
          <w:highlight w:val="none"/>
          <w:lang w:val="en-US" w:eastAsia="zh-CN"/>
        </w:rPr>
        <w:t>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_Toc21086 \h </w:instrText>
      </w:r>
      <w:r>
        <w:rPr>
          <w:rFonts w:hint="eastAsia" w:cs="宋体"/>
          <w:color w:val="auto"/>
          <w:highlight w:val="none"/>
        </w:rPr>
        <w:fldChar w:fldCharType="separate"/>
      </w:r>
      <w:r>
        <w:rPr>
          <w:rFonts w:hint="eastAsia" w:cs="宋体"/>
          <w:color w:val="auto"/>
          <w:highlight w:val="none"/>
        </w:rPr>
        <w:t>２</w:t>
      </w:r>
      <w:r>
        <w:rPr>
          <w:rFonts w:hint="eastAsia" w:cs="宋体"/>
          <w:color w:val="auto"/>
          <w:highlight w:val="none"/>
          <w:lang w:val="en-US" w:eastAsia="zh-CN"/>
        </w:rPr>
        <w:t>5</w:t>
      </w:r>
      <w:r>
        <w:rPr>
          <w:rFonts w:hint="eastAsia" w:cs="宋体"/>
          <w:color w:val="auto"/>
          <w:highlight w:val="none"/>
        </w:rPr>
        <w:fldChar w:fldCharType="end"/>
      </w:r>
      <w:r>
        <w:rPr>
          <w:rFonts w:hint="eastAsia" w:cs="宋体"/>
          <w:color w:val="auto"/>
          <w:highlight w:val="none"/>
        </w:rPr>
        <w:fldChar w:fldCharType="end"/>
      </w:r>
    </w:p>
    <w:p w14:paraId="1FD47764">
      <w:pPr>
        <w:pStyle w:val="235"/>
        <w:tabs>
          <w:tab w:val="right" w:leader="dot" w:pos="8953"/>
        </w:tabs>
        <w:spacing w:line="360" w:lineRule="auto"/>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_Toc32632 </w:instrText>
      </w:r>
      <w:r>
        <w:rPr>
          <w:rFonts w:hint="eastAsia" w:cs="宋体"/>
          <w:color w:val="auto"/>
          <w:highlight w:val="none"/>
        </w:rPr>
        <w:fldChar w:fldCharType="separate"/>
      </w:r>
      <w:r>
        <w:rPr>
          <w:rFonts w:hint="eastAsia" w:cs="宋体"/>
          <w:color w:val="auto"/>
          <w:highlight w:val="none"/>
        </w:rPr>
        <w:t>第五章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_Toc32632 \h </w:instrText>
      </w:r>
      <w:r>
        <w:rPr>
          <w:rFonts w:hint="eastAsia" w:cs="宋体"/>
          <w:color w:val="auto"/>
          <w:highlight w:val="none"/>
        </w:rPr>
        <w:fldChar w:fldCharType="separate"/>
      </w:r>
      <w:r>
        <w:rPr>
          <w:rFonts w:hint="eastAsia" w:cs="宋体"/>
          <w:color w:val="auto"/>
          <w:highlight w:val="none"/>
        </w:rPr>
        <w:t>３</w:t>
      </w:r>
      <w:r>
        <w:rPr>
          <w:rFonts w:hint="eastAsia" w:cs="宋体"/>
          <w:color w:val="auto"/>
          <w:highlight w:val="none"/>
          <w:lang w:val="en-US" w:eastAsia="zh-CN"/>
        </w:rPr>
        <w:t>1</w:t>
      </w:r>
      <w:r>
        <w:rPr>
          <w:rFonts w:hint="eastAsia" w:cs="宋体"/>
          <w:color w:val="auto"/>
          <w:highlight w:val="none"/>
        </w:rPr>
        <w:fldChar w:fldCharType="end"/>
      </w:r>
      <w:r>
        <w:rPr>
          <w:rFonts w:hint="eastAsia" w:cs="宋体"/>
          <w:color w:val="auto"/>
          <w:highlight w:val="none"/>
        </w:rPr>
        <w:fldChar w:fldCharType="end"/>
      </w:r>
    </w:p>
    <w:p w14:paraId="7A9A6A35">
      <w:pPr>
        <w:pStyle w:val="235"/>
        <w:tabs>
          <w:tab w:val="right" w:leader="dot" w:pos="8953"/>
        </w:tabs>
        <w:spacing w:line="360" w:lineRule="auto"/>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_Toc29928 </w:instrText>
      </w:r>
      <w:r>
        <w:rPr>
          <w:rFonts w:hint="eastAsia" w:cs="宋体"/>
          <w:color w:val="auto"/>
          <w:highlight w:val="none"/>
        </w:rPr>
        <w:fldChar w:fldCharType="separate"/>
      </w:r>
      <w:r>
        <w:rPr>
          <w:rFonts w:hint="eastAsia" w:cs="宋体"/>
          <w:color w:val="auto"/>
          <w:highlight w:val="none"/>
        </w:rPr>
        <w:t>第六章  投标文件格式</w:t>
      </w:r>
      <w:r>
        <w:rPr>
          <w:rFonts w:hint="eastAsia" w:cs="宋体"/>
          <w:color w:val="auto"/>
          <w:highlight w:val="none"/>
        </w:rPr>
        <w:tab/>
      </w:r>
      <w:r>
        <w:rPr>
          <w:rFonts w:hint="eastAsia" w:cs="宋体"/>
          <w:color w:val="auto"/>
          <w:highlight w:val="none"/>
          <w:lang w:val="en-US" w:eastAsia="zh-CN"/>
        </w:rPr>
        <w:t>3</w:t>
      </w:r>
      <w:r>
        <w:rPr>
          <w:rFonts w:hint="eastAsia" w:cs="宋体"/>
          <w:color w:val="auto"/>
          <w:highlight w:val="none"/>
        </w:rPr>
        <w:fldChar w:fldCharType="end"/>
      </w:r>
      <w:r>
        <w:rPr>
          <w:rFonts w:hint="eastAsia" w:cs="宋体"/>
          <w:color w:val="auto"/>
          <w:highlight w:val="none"/>
          <w:lang w:val="en-US" w:eastAsia="zh-CN"/>
        </w:rPr>
        <w:t>4</w:t>
      </w:r>
    </w:p>
    <w:p w14:paraId="1BC0A1E5">
      <w:pPr>
        <w:pStyle w:val="242"/>
        <w:tabs>
          <w:tab w:val="right" w:leader="dot" w:pos="8953"/>
        </w:tabs>
        <w:rPr>
          <w:color w:val="auto"/>
          <w:highlight w:val="none"/>
        </w:rPr>
      </w:pPr>
    </w:p>
    <w:p w14:paraId="386DBC4F">
      <w:pPr>
        <w:spacing w:line="480" w:lineRule="auto"/>
        <w:rPr>
          <w:rFonts w:hint="eastAsia" w:ascii="仿宋_GB2312" w:hAnsi="Arial" w:eastAsia="仿宋_GB2312"/>
          <w:b/>
          <w:color w:val="auto"/>
          <w:sz w:val="28"/>
          <w:highlight w:val="none"/>
        </w:rPr>
      </w:pPr>
      <w:r>
        <w:rPr>
          <w:rFonts w:hint="eastAsia" w:ascii="仿宋_GB2312" w:hAnsi="Arial" w:eastAsia="仿宋_GB2312"/>
          <w:color w:val="auto"/>
          <w:highlight w:val="none"/>
        </w:rPr>
        <w:fldChar w:fldCharType="end"/>
      </w:r>
    </w:p>
    <w:p w14:paraId="101EAA74">
      <w:pPr>
        <w:rPr>
          <w:rFonts w:hint="eastAsia"/>
          <w:color w:val="auto"/>
          <w:highlight w:val="none"/>
        </w:rPr>
      </w:pPr>
    </w:p>
    <w:p w14:paraId="65A6FEE3">
      <w:pPr>
        <w:rPr>
          <w:rFonts w:hint="eastAsia"/>
          <w:color w:val="auto"/>
          <w:highlight w:val="none"/>
        </w:rPr>
      </w:pPr>
    </w:p>
    <w:p w14:paraId="61804694">
      <w:pPr>
        <w:rPr>
          <w:rFonts w:hint="eastAsia"/>
          <w:color w:val="auto"/>
          <w:highlight w:val="none"/>
        </w:rPr>
      </w:pPr>
    </w:p>
    <w:p w14:paraId="10FC26BE">
      <w:pPr>
        <w:rPr>
          <w:rFonts w:hint="eastAsia"/>
          <w:color w:val="auto"/>
          <w:highlight w:val="none"/>
        </w:rPr>
      </w:pPr>
    </w:p>
    <w:p w14:paraId="7139CFFF">
      <w:pPr>
        <w:rPr>
          <w:rFonts w:hint="eastAsia"/>
          <w:color w:val="auto"/>
          <w:highlight w:val="none"/>
        </w:rPr>
      </w:pPr>
    </w:p>
    <w:p w14:paraId="0D2CB698">
      <w:pPr>
        <w:rPr>
          <w:rFonts w:hint="eastAsia"/>
          <w:color w:val="auto"/>
          <w:highlight w:val="none"/>
        </w:rPr>
      </w:pPr>
    </w:p>
    <w:p w14:paraId="48AE6150">
      <w:pPr>
        <w:rPr>
          <w:rFonts w:hint="eastAsia"/>
          <w:color w:val="auto"/>
          <w:highlight w:val="none"/>
        </w:rPr>
      </w:pPr>
    </w:p>
    <w:p w14:paraId="3EFF96D4">
      <w:pPr>
        <w:pStyle w:val="185"/>
        <w:rPr>
          <w:rFonts w:hint="eastAsia" w:ascii="黑体" w:eastAsia="黑体"/>
          <w:color w:val="auto"/>
          <w:sz w:val="44"/>
          <w:szCs w:val="44"/>
          <w:highlight w:val="none"/>
        </w:rPr>
        <w:sectPr>
          <w:footerReference r:id="rId9" w:type="first"/>
          <w:footerReference r:id="rId8" w:type="default"/>
          <w:pgSz w:w="11906" w:h="16838"/>
          <w:pgMar w:top="1418" w:right="1588" w:bottom="1418" w:left="1365" w:header="851" w:footer="907" w:gutter="0"/>
          <w:cols w:space="1701" w:num="1"/>
          <w:titlePg/>
          <w:docGrid w:linePitch="360" w:charSpace="0"/>
        </w:sectPr>
      </w:pPr>
      <w:bookmarkStart w:id="8" w:name="_Toc2933"/>
      <w:bookmarkStart w:id="9" w:name="_Toc1635"/>
    </w:p>
    <w:p w14:paraId="64AB9389">
      <w:pPr>
        <w:pStyle w:val="185"/>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bookmarkEnd w:id="8"/>
      <w:bookmarkEnd w:id="9"/>
    </w:p>
    <w:p w14:paraId="78ACDDFD">
      <w:pPr>
        <w:ind w:firstLine="480"/>
        <w:jc w:val="left"/>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连云港生物工程中等专业学校</w:t>
      </w:r>
      <w:r>
        <w:rPr>
          <w:rFonts w:hint="eastAsia" w:ascii="宋体" w:hAnsi="宋体"/>
          <w:color w:val="auto"/>
          <w:sz w:val="24"/>
          <w:szCs w:val="24"/>
          <w:highlight w:val="none"/>
        </w:rPr>
        <w:t>的委托，</w:t>
      </w:r>
      <w:r>
        <w:rPr>
          <w:rFonts w:hint="eastAsia" w:ascii="宋体" w:hAnsi="宋体"/>
          <w:color w:val="auto"/>
          <w:sz w:val="24"/>
          <w:szCs w:val="24"/>
          <w:highlight w:val="none"/>
          <w:u w:val="single"/>
          <w:lang w:eastAsia="zh-CN"/>
        </w:rPr>
        <w:t>江苏伟之达项目管理咨询有限公司</w:t>
      </w:r>
      <w:r>
        <w:rPr>
          <w:rFonts w:hint="eastAsia" w:ascii="宋体" w:hAnsi="宋体"/>
          <w:color w:val="auto"/>
          <w:sz w:val="24"/>
          <w:szCs w:val="24"/>
          <w:highlight w:val="none"/>
        </w:rPr>
        <w:t>就</w:t>
      </w:r>
      <w:r>
        <w:rPr>
          <w:rFonts w:hint="eastAsia" w:ascii="宋体" w:hAnsi="宋体"/>
          <w:color w:val="auto"/>
          <w:sz w:val="24"/>
          <w:szCs w:val="24"/>
          <w:highlight w:val="none"/>
          <w:u w:val="single"/>
          <w:lang w:eastAsia="zh-CN"/>
        </w:rPr>
        <w:t>生物中专2025-2026学年车辆租赁服务</w:t>
      </w:r>
      <w:r>
        <w:rPr>
          <w:rFonts w:hint="eastAsia" w:ascii="宋体" w:hAnsi="宋体"/>
          <w:color w:val="auto"/>
          <w:sz w:val="24"/>
          <w:szCs w:val="24"/>
          <w:highlight w:val="none"/>
        </w:rPr>
        <w:t>(项目编号：</w:t>
      </w:r>
      <w:r>
        <w:rPr>
          <w:rFonts w:hint="eastAsia" w:ascii="宋体" w:hAnsi="宋体"/>
          <w:color w:val="auto"/>
          <w:sz w:val="24"/>
          <w:szCs w:val="24"/>
          <w:highlight w:val="none"/>
          <w:u w:val="single"/>
          <w:lang w:eastAsia="zh-CN"/>
        </w:rPr>
        <w:t>JSZC-320700-SWZD-G2025-0006</w:t>
      </w:r>
      <w:r>
        <w:rPr>
          <w:rFonts w:hint="eastAsia" w:ascii="宋体" w:hAnsi="宋体"/>
          <w:color w:val="auto"/>
          <w:sz w:val="24"/>
          <w:szCs w:val="24"/>
          <w:highlight w:val="none"/>
        </w:rPr>
        <w:t>)项目进行公开招标采购，欢迎符合条件的供应商投标。</w:t>
      </w:r>
    </w:p>
    <w:p w14:paraId="2AF703FD">
      <w:pPr>
        <w:pBdr>
          <w:top w:val="single" w:color="000000" w:sz="4" w:space="1"/>
          <w:left w:val="single" w:color="000000" w:sz="4" w:space="4"/>
          <w:bottom w:val="single" w:color="000000" w:sz="4" w:space="1"/>
          <w:right w:val="single" w:color="000000" w:sz="4" w:space="4"/>
        </w:pBdr>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3FE44646">
      <w:pPr>
        <w:pBdr>
          <w:top w:val="single" w:color="000000" w:sz="4" w:space="1"/>
          <w:left w:val="single" w:color="000000" w:sz="4" w:space="4"/>
          <w:bottom w:val="single" w:color="000000" w:sz="4" w:space="1"/>
          <w:right w:val="single" w:color="000000" w:sz="4" w:space="4"/>
        </w:pBdr>
        <w:ind w:firstLine="480"/>
        <w:rPr>
          <w:rFonts w:ascii="宋体" w:hAnsi="宋体"/>
          <w:color w:val="auto"/>
          <w:sz w:val="24"/>
          <w:szCs w:val="24"/>
          <w:highlight w:val="none"/>
        </w:rPr>
      </w:pPr>
      <w:r>
        <w:rPr>
          <w:rFonts w:hint="eastAsia" w:ascii="宋体" w:hAnsi="宋体"/>
          <w:color w:val="auto"/>
          <w:sz w:val="24"/>
          <w:szCs w:val="24"/>
          <w:highlight w:val="none"/>
          <w:u w:val="single"/>
          <w:lang w:eastAsia="zh-CN"/>
        </w:rPr>
        <w:t>生物中专2025-2026学年车辆租赁服务</w:t>
      </w:r>
      <w:r>
        <w:rPr>
          <w:rFonts w:hint="eastAsia" w:ascii="宋体" w:hAnsi="宋体"/>
          <w:color w:val="auto"/>
          <w:sz w:val="24"/>
          <w:szCs w:val="24"/>
          <w:highlight w:val="none"/>
        </w:rPr>
        <w:t>招标项目的潜在</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lang w:eastAsia="zh-CN"/>
        </w:rPr>
        <w:t>2025年</w:t>
      </w:r>
      <w:r>
        <w:rPr>
          <w:rFonts w:hint="eastAsia" w:ascii="宋体" w:hAnsi="宋体"/>
          <w:color w:val="auto"/>
          <w:sz w:val="24"/>
          <w:szCs w:val="24"/>
          <w:highlight w:val="none"/>
          <w:u w:val="single"/>
          <w:lang w:val="en-US" w:eastAsia="zh-CN"/>
        </w:rPr>
        <w:t>11</w:t>
      </w:r>
      <w:r>
        <w:rPr>
          <w:rFonts w:hint="eastAsia" w:ascii="宋体" w:hAnsi="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点00分（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591FD8E">
      <w:pPr>
        <w:pStyle w:val="187"/>
        <w:spacing w:before="145" w:after="145" w:line="360" w:lineRule="auto"/>
        <w:ind w:firstLine="498"/>
        <w:rPr>
          <w:color w:val="auto"/>
          <w:highlight w:val="none"/>
        </w:rPr>
      </w:pPr>
      <w:bookmarkStart w:id="10" w:name="_Toc21136"/>
      <w:bookmarkStart w:id="11" w:name="_Toc28359079"/>
      <w:bookmarkStart w:id="12" w:name="_Toc38985263"/>
      <w:bookmarkStart w:id="13" w:name="_Toc16002"/>
      <w:bookmarkStart w:id="14" w:name="_Toc35393790"/>
      <w:bookmarkStart w:id="15" w:name="_Toc28359002"/>
      <w:bookmarkStart w:id="16" w:name="_Toc35393621"/>
      <w:bookmarkStart w:id="17" w:name="_Hlk24379207"/>
      <w:r>
        <w:rPr>
          <w:rFonts w:hint="eastAsia"/>
          <w:color w:val="auto"/>
          <w:highlight w:val="none"/>
        </w:rPr>
        <w:t>一、项目基本情况</w:t>
      </w:r>
      <w:bookmarkEnd w:id="10"/>
      <w:bookmarkEnd w:id="11"/>
      <w:bookmarkEnd w:id="12"/>
      <w:bookmarkEnd w:id="13"/>
      <w:bookmarkEnd w:id="14"/>
      <w:bookmarkEnd w:id="15"/>
      <w:bookmarkEnd w:id="16"/>
    </w:p>
    <w:bookmarkEnd w:id="17"/>
    <w:p w14:paraId="2DF1743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JSZC-320700-SWZD-G2025-0006</w:t>
      </w:r>
    </w:p>
    <w:p w14:paraId="1C3D4C5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生物中专2025-2026学年车辆租赁服务</w:t>
      </w:r>
    </w:p>
    <w:p w14:paraId="65B7C2C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3.预算金额：</w:t>
      </w:r>
      <w:r>
        <w:rPr>
          <w:rFonts w:hint="eastAsia" w:ascii="宋体" w:hAnsi="宋体"/>
          <w:color w:val="auto"/>
          <w:sz w:val="24"/>
          <w:szCs w:val="24"/>
          <w:highlight w:val="none"/>
          <w:lang w:val="en-US" w:eastAsia="zh-CN"/>
        </w:rPr>
        <w:t>99.25</w:t>
      </w:r>
      <w:r>
        <w:rPr>
          <w:rFonts w:hint="eastAsia" w:ascii="宋体" w:hAnsi="宋体"/>
          <w:color w:val="auto"/>
          <w:sz w:val="24"/>
          <w:szCs w:val="24"/>
          <w:highlight w:val="none"/>
        </w:rPr>
        <w:t>万元</w:t>
      </w:r>
    </w:p>
    <w:p w14:paraId="2217FD7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olor w:val="auto"/>
          <w:sz w:val="24"/>
          <w:szCs w:val="24"/>
          <w:highlight w:val="none"/>
          <w:lang w:val="en-US" w:eastAsia="zh-CN"/>
        </w:rPr>
      </w:pPr>
      <w:r>
        <w:rPr>
          <w:rFonts w:hint="eastAsia" w:ascii="宋体" w:hAnsi="宋体"/>
          <w:color w:val="auto"/>
          <w:sz w:val="24"/>
          <w:szCs w:val="24"/>
          <w:highlight w:val="none"/>
        </w:rPr>
        <w:t>4.最高限价：</w:t>
      </w:r>
      <w:r>
        <w:rPr>
          <w:rFonts w:hint="eastAsia" w:ascii="宋体" w:hAnsi="宋体" w:eastAsia="宋体" w:cs="宋体"/>
          <w:color w:val="auto"/>
          <w:spacing w:val="0"/>
          <w:sz w:val="24"/>
          <w:szCs w:val="24"/>
          <w:highlight w:val="none"/>
          <w:lang w:val="en-US" w:eastAsia="zh-CN"/>
        </w:rPr>
        <w:t>最高限价总价</w:t>
      </w:r>
      <w:r>
        <w:rPr>
          <w:rFonts w:hint="eastAsia" w:ascii="宋体" w:hAnsi="宋体" w:cs="宋体"/>
          <w:color w:val="auto"/>
          <w:spacing w:val="0"/>
          <w:sz w:val="24"/>
          <w:szCs w:val="24"/>
          <w:highlight w:val="none"/>
          <w:lang w:val="en-US" w:eastAsia="zh-CN"/>
        </w:rPr>
        <w:t>99.25</w:t>
      </w:r>
      <w:r>
        <w:rPr>
          <w:rFonts w:hint="eastAsia" w:ascii="宋体" w:hAnsi="宋体" w:eastAsia="宋体" w:cs="宋体"/>
          <w:color w:val="auto"/>
          <w:spacing w:val="0"/>
          <w:sz w:val="24"/>
          <w:szCs w:val="24"/>
          <w:highlight w:val="none"/>
          <w:lang w:val="en-US" w:eastAsia="zh-CN"/>
        </w:rPr>
        <w:t>万元</w:t>
      </w:r>
      <w:r>
        <w:rPr>
          <w:rFonts w:hint="eastAsia" w:ascii="宋体" w:hAnsi="宋体" w:cs="宋体"/>
          <w:color w:val="auto"/>
          <w:spacing w:val="0"/>
          <w:sz w:val="24"/>
          <w:szCs w:val="24"/>
          <w:highlight w:val="none"/>
          <w:lang w:val="en-US" w:eastAsia="zh-CN"/>
        </w:rPr>
        <w:t>，限价单价详见项目需求</w:t>
      </w:r>
      <w:r>
        <w:rPr>
          <w:rFonts w:hint="eastAsia" w:ascii="宋体" w:hAnsi="宋体"/>
          <w:strike w:val="0"/>
          <w:color w:val="auto"/>
          <w:sz w:val="24"/>
          <w:szCs w:val="24"/>
          <w:highlight w:val="none"/>
          <w:lang w:val="en-US" w:eastAsia="zh-CN"/>
        </w:rPr>
        <w:t>，投标</w:t>
      </w:r>
      <w:r>
        <w:rPr>
          <w:rFonts w:hint="eastAsia" w:ascii="宋体" w:hAnsi="宋体"/>
          <w:color w:val="auto"/>
          <w:sz w:val="24"/>
          <w:szCs w:val="24"/>
          <w:highlight w:val="none"/>
        </w:rPr>
        <w:t>报价超过最高限价</w:t>
      </w:r>
      <w:r>
        <w:rPr>
          <w:rFonts w:hint="eastAsia" w:ascii="宋体" w:hAnsi="宋体"/>
          <w:color w:val="auto"/>
          <w:sz w:val="24"/>
          <w:szCs w:val="24"/>
          <w:highlight w:val="none"/>
          <w:lang w:val="en-US" w:eastAsia="zh-CN"/>
        </w:rPr>
        <w:t>总价或单价</w:t>
      </w:r>
      <w:r>
        <w:rPr>
          <w:rFonts w:hint="eastAsia" w:ascii="宋体" w:hAnsi="宋体"/>
          <w:color w:val="auto"/>
          <w:sz w:val="24"/>
          <w:szCs w:val="24"/>
          <w:highlight w:val="none"/>
        </w:rPr>
        <w:t>的</w:t>
      </w:r>
      <w:r>
        <w:rPr>
          <w:rFonts w:hint="eastAsia" w:ascii="宋体" w:hAnsi="宋体"/>
          <w:color w:val="auto"/>
          <w:sz w:val="24"/>
          <w:szCs w:val="24"/>
          <w:highlight w:val="none"/>
          <w:lang w:val="en-US" w:eastAsia="zh-CN"/>
        </w:rPr>
        <w:t>投标无效</w:t>
      </w:r>
      <w:r>
        <w:rPr>
          <w:rFonts w:hint="eastAsia" w:ascii="宋体" w:hAnsi="宋体"/>
          <w:color w:val="auto"/>
          <w:sz w:val="24"/>
          <w:szCs w:val="24"/>
          <w:highlight w:val="none"/>
        </w:rPr>
        <w:t>。</w:t>
      </w:r>
    </w:p>
    <w:p w14:paraId="218F396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cs="宋体"/>
          <w:color w:val="auto"/>
          <w:sz w:val="24"/>
          <w:szCs w:val="24"/>
          <w:highlight w:val="none"/>
        </w:rPr>
      </w:pPr>
      <w:r>
        <w:rPr>
          <w:rFonts w:hint="eastAsia" w:ascii="宋体" w:hAnsi="宋体"/>
          <w:color w:val="auto"/>
          <w:sz w:val="24"/>
          <w:szCs w:val="24"/>
          <w:highlight w:val="none"/>
        </w:rPr>
        <w:t>5.采购需求：</w:t>
      </w:r>
      <w:r>
        <w:rPr>
          <w:rFonts w:hint="eastAsia" w:ascii="宋体" w:hAnsi="宋体"/>
          <w:color w:val="auto"/>
          <w:sz w:val="24"/>
          <w:szCs w:val="24"/>
          <w:highlight w:val="none"/>
          <w:lang w:val="en-US" w:eastAsia="zh-CN"/>
        </w:rPr>
        <w:t>租用车辆接送学生和老师往返学校</w:t>
      </w:r>
      <w:r>
        <w:rPr>
          <w:rFonts w:hint="eastAsia" w:ascii="宋体" w:hAnsi="宋体"/>
          <w:color w:val="auto"/>
          <w:sz w:val="24"/>
          <w:szCs w:val="24"/>
          <w:highlight w:val="none"/>
          <w:lang w:eastAsia="zh-CN"/>
        </w:rPr>
        <w:t>，</w:t>
      </w:r>
      <w:r>
        <w:rPr>
          <w:rFonts w:hint="eastAsia" w:ascii="宋体" w:hAnsi="宋体" w:cs="宋体"/>
          <w:color w:val="auto"/>
          <w:sz w:val="24"/>
          <w:szCs w:val="24"/>
          <w:highlight w:val="none"/>
        </w:rPr>
        <w:t>详细内容见本招标文件第四章。</w:t>
      </w:r>
    </w:p>
    <w:p w14:paraId="5BCA7469">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cs="宋体"/>
          <w:color w:val="auto"/>
          <w:sz w:val="24"/>
          <w:szCs w:val="24"/>
          <w:highlight w:val="none"/>
        </w:rPr>
      </w:pPr>
      <w:r>
        <w:rPr>
          <w:rFonts w:hint="eastAsia" w:ascii="宋体" w:hAnsi="宋体"/>
          <w:b/>
          <w:bCs/>
          <w:color w:val="auto"/>
          <w:sz w:val="24"/>
          <w:highlight w:val="none"/>
        </w:rPr>
        <w:t>对项目采购需求部分的询问、质疑请与采购人联系，由采购人负责答复。</w:t>
      </w:r>
    </w:p>
    <w:p w14:paraId="0897644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bCs/>
          <w:color w:val="auto"/>
          <w:sz w:val="24"/>
          <w:highlight w:val="none"/>
          <w:lang w:eastAsia="zh-CN"/>
        </w:rPr>
      </w:pPr>
      <w:r>
        <w:rPr>
          <w:rFonts w:hint="eastAsia" w:ascii="宋体" w:hAnsi="宋体"/>
          <w:color w:val="auto"/>
          <w:sz w:val="24"/>
          <w:szCs w:val="24"/>
          <w:highlight w:val="none"/>
        </w:rPr>
        <w:t>6.合同履行期限</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2025年-2026年学年</w:t>
      </w:r>
      <w:r>
        <w:rPr>
          <w:rFonts w:hint="eastAsia" w:ascii="宋体" w:hAnsi="宋体"/>
          <w:color w:val="auto"/>
          <w:sz w:val="24"/>
          <w:szCs w:val="24"/>
          <w:highlight w:val="none"/>
          <w:lang w:eastAsia="zh-CN"/>
        </w:rPr>
        <w:t>（以采购人指定要求为准）。</w:t>
      </w:r>
    </w:p>
    <w:p w14:paraId="711A4317">
      <w:pPr>
        <w:pStyle w:val="187"/>
        <w:spacing w:before="145" w:after="145" w:line="360" w:lineRule="auto"/>
        <w:ind w:firstLine="498"/>
        <w:rPr>
          <w:color w:val="auto"/>
          <w:highlight w:val="none"/>
        </w:rPr>
      </w:pPr>
      <w:bookmarkStart w:id="18" w:name="_Toc1258"/>
      <w:bookmarkStart w:id="19" w:name="_Toc28359003"/>
      <w:bookmarkStart w:id="20" w:name="_Toc35393622"/>
      <w:bookmarkStart w:id="21" w:name="_Toc3796"/>
      <w:bookmarkStart w:id="22" w:name="_Toc28359080"/>
      <w:bookmarkStart w:id="23" w:name="_Toc38985264"/>
      <w:bookmarkStart w:id="24" w:name="_Toc35393791"/>
      <w:r>
        <w:rPr>
          <w:rFonts w:hint="eastAsia"/>
          <w:color w:val="auto"/>
          <w:highlight w:val="none"/>
        </w:rPr>
        <w:t>二、申请人的资格要求：</w:t>
      </w:r>
      <w:bookmarkEnd w:id="18"/>
      <w:bookmarkEnd w:id="19"/>
      <w:bookmarkEnd w:id="20"/>
      <w:bookmarkEnd w:id="21"/>
      <w:bookmarkEnd w:id="22"/>
      <w:bookmarkEnd w:id="23"/>
      <w:bookmarkEnd w:id="24"/>
    </w:p>
    <w:p w14:paraId="35472818">
      <w:pPr>
        <w:keepNext w:val="0"/>
        <w:keepLines w:val="0"/>
        <w:pageBreakBefore w:val="0"/>
        <w:widowControl w:val="0"/>
        <w:spacing w:line="560" w:lineRule="exact"/>
        <w:ind w:firstLine="480"/>
        <w:rPr>
          <w:rFonts w:ascii="宋体" w:hAnsi="宋体"/>
          <w:color w:val="auto"/>
          <w:sz w:val="24"/>
          <w:szCs w:val="24"/>
          <w:highlight w:val="none"/>
        </w:rPr>
      </w:pPr>
      <w:bookmarkStart w:id="25" w:name="_Toc28359081"/>
      <w:bookmarkStart w:id="26" w:name="_Toc35393792"/>
      <w:bookmarkStart w:id="27" w:name="_Toc35393623"/>
      <w:bookmarkStart w:id="28" w:name="_Toc38985265"/>
      <w:bookmarkStart w:id="29"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满足《中华人民共和国政府采购法》第二十二条规定，并提供下列材料：</w:t>
      </w:r>
    </w:p>
    <w:p w14:paraId="73F81F1A">
      <w:pPr>
        <w:keepNext w:val="0"/>
        <w:keepLines w:val="0"/>
        <w:pageBreakBefore w:val="0"/>
        <w:widowControl w:val="0"/>
        <w:spacing w:line="560" w:lineRule="exact"/>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法人或者其他组织的营业执照等证明文件，自然人的身份证明；</w:t>
      </w:r>
    </w:p>
    <w:p w14:paraId="55743306">
      <w:pPr>
        <w:keepNext w:val="0"/>
        <w:keepLines w:val="0"/>
        <w:pageBreakBefore w:val="0"/>
        <w:widowControl w:val="0"/>
        <w:spacing w:line="56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具有良好的商业信誉和健全的财务会计制度</w:t>
      </w:r>
      <w:r>
        <w:rPr>
          <w:rFonts w:hint="eastAsia" w:ascii="宋体" w:hAnsi="宋体"/>
          <w:color w:val="auto"/>
          <w:sz w:val="24"/>
          <w:szCs w:val="24"/>
          <w:highlight w:val="none"/>
          <w:lang w:eastAsia="zh-CN"/>
        </w:rPr>
        <w:t>。</w:t>
      </w:r>
      <w:r>
        <w:rPr>
          <w:rFonts w:hint="eastAsia" w:ascii="宋体" w:hAnsi="宋体"/>
          <w:b/>
          <w:bCs/>
          <w:color w:val="auto"/>
          <w:sz w:val="24"/>
          <w:szCs w:val="24"/>
          <w:highlight w:val="none"/>
        </w:rPr>
        <w:t>根据连财购〔2023〕4号、连财购</w:t>
      </w:r>
      <w:r>
        <w:rPr>
          <w:rFonts w:hint="eastAsia" w:ascii="宋体" w:hAnsi="宋体"/>
          <w:b/>
          <w:bCs/>
          <w:color w:val="auto"/>
          <w:sz w:val="24"/>
          <w:szCs w:val="24"/>
          <w:highlight w:val="none"/>
          <w:lang w:eastAsia="zh-CN"/>
        </w:rPr>
        <w:t>〔2023〕9号</w:t>
      </w:r>
      <w:r>
        <w:rPr>
          <w:rFonts w:hint="eastAsia" w:ascii="宋体" w:hAnsi="宋体"/>
          <w:b/>
          <w:bCs/>
          <w:color w:val="auto"/>
          <w:sz w:val="24"/>
          <w:szCs w:val="24"/>
          <w:highlight w:val="none"/>
        </w:rPr>
        <w:t>文件精神，</w:t>
      </w:r>
      <w:r>
        <w:rPr>
          <w:rFonts w:hint="eastAsia" w:ascii="宋体" w:hAnsi="宋体"/>
          <w:b/>
          <w:bCs/>
          <w:color w:val="auto"/>
          <w:sz w:val="24"/>
          <w:szCs w:val="24"/>
          <w:highlight w:val="none"/>
          <w:lang w:val="en-US" w:eastAsia="zh-CN"/>
        </w:rPr>
        <w:t>本项</w:t>
      </w:r>
      <w:r>
        <w:rPr>
          <w:rFonts w:hint="eastAsia" w:ascii="宋体" w:hAnsi="宋体"/>
          <w:b/>
          <w:bCs/>
          <w:color w:val="auto"/>
          <w:sz w:val="24"/>
          <w:szCs w:val="24"/>
          <w:highlight w:val="none"/>
        </w:rPr>
        <w:t>可以提供《财务状况报告及税收、社会保障资金缴纳情况承诺函》，不再要求</w:t>
      </w:r>
      <w:r>
        <w:rPr>
          <w:rFonts w:hint="eastAsia" w:ascii="宋体" w:hAnsi="宋体"/>
          <w:b/>
          <w:bCs/>
          <w:color w:val="auto"/>
          <w:sz w:val="24"/>
          <w:szCs w:val="24"/>
          <w:highlight w:val="none"/>
          <w:lang w:eastAsia="zh-CN"/>
        </w:rPr>
        <w:t>供应商</w:t>
      </w:r>
      <w:r>
        <w:rPr>
          <w:rFonts w:hint="eastAsia" w:ascii="宋体" w:hAnsi="宋体"/>
          <w:b/>
          <w:bCs/>
          <w:color w:val="auto"/>
          <w:sz w:val="24"/>
          <w:szCs w:val="24"/>
          <w:highlight w:val="none"/>
        </w:rPr>
        <w:t>提供相关财务状况、缴纳税收和社会保障资金等证明材料，具体格式详见招标文件第六章投标文件格式</w:t>
      </w:r>
      <w:r>
        <w:rPr>
          <w:rFonts w:hint="eastAsia" w:ascii="宋体" w:hAnsi="宋体"/>
          <w:color w:val="auto"/>
          <w:sz w:val="24"/>
          <w:szCs w:val="24"/>
          <w:highlight w:val="none"/>
          <w:lang w:eastAsia="zh-CN"/>
        </w:rPr>
        <w:t>；</w:t>
      </w:r>
    </w:p>
    <w:p w14:paraId="29742026">
      <w:pPr>
        <w:keepNext w:val="0"/>
        <w:keepLines w:val="0"/>
        <w:pageBreakBefore w:val="0"/>
        <w:widowControl w:val="0"/>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依法缴纳税收和社会保障资金的相关材料</w:t>
      </w:r>
      <w:r>
        <w:rPr>
          <w:rFonts w:hint="eastAsia" w:ascii="宋体" w:hAnsi="宋体"/>
          <w:color w:val="auto"/>
          <w:sz w:val="24"/>
          <w:szCs w:val="24"/>
          <w:highlight w:val="none"/>
          <w:lang w:eastAsia="zh-CN"/>
        </w:rPr>
        <w:t>。</w:t>
      </w:r>
      <w:r>
        <w:rPr>
          <w:rFonts w:hint="eastAsia" w:ascii="宋体" w:hAnsi="宋体"/>
          <w:b/>
          <w:bCs/>
          <w:color w:val="auto"/>
          <w:sz w:val="24"/>
          <w:szCs w:val="24"/>
          <w:highlight w:val="none"/>
        </w:rPr>
        <w:t>根据连财购〔2023〕4号、连财购</w:t>
      </w:r>
      <w:r>
        <w:rPr>
          <w:rFonts w:hint="eastAsia" w:ascii="宋体" w:hAnsi="宋体"/>
          <w:b/>
          <w:bCs/>
          <w:color w:val="auto"/>
          <w:sz w:val="24"/>
          <w:szCs w:val="24"/>
          <w:highlight w:val="none"/>
          <w:lang w:eastAsia="zh-CN"/>
        </w:rPr>
        <w:t>〔2023〕9号</w:t>
      </w:r>
      <w:r>
        <w:rPr>
          <w:rFonts w:hint="eastAsia" w:ascii="宋体" w:hAnsi="宋体"/>
          <w:b/>
          <w:bCs/>
          <w:color w:val="auto"/>
          <w:sz w:val="24"/>
          <w:szCs w:val="24"/>
          <w:highlight w:val="none"/>
        </w:rPr>
        <w:t>文件精神，</w:t>
      </w:r>
      <w:r>
        <w:rPr>
          <w:rFonts w:hint="eastAsia" w:ascii="宋体" w:hAnsi="宋体"/>
          <w:b/>
          <w:bCs/>
          <w:color w:val="auto"/>
          <w:sz w:val="24"/>
          <w:szCs w:val="24"/>
          <w:highlight w:val="none"/>
          <w:lang w:val="en-US" w:eastAsia="zh-CN"/>
        </w:rPr>
        <w:t>本项</w:t>
      </w:r>
      <w:r>
        <w:rPr>
          <w:rFonts w:hint="eastAsia" w:ascii="宋体" w:hAnsi="宋体"/>
          <w:b/>
          <w:bCs/>
          <w:color w:val="auto"/>
          <w:sz w:val="24"/>
          <w:szCs w:val="24"/>
          <w:highlight w:val="none"/>
        </w:rPr>
        <w:t>可以提供《财务状况报告及税收、社会保障资金缴纳情况承诺函》，不再要求</w:t>
      </w:r>
      <w:r>
        <w:rPr>
          <w:rFonts w:hint="eastAsia" w:ascii="宋体" w:hAnsi="宋体"/>
          <w:b/>
          <w:bCs/>
          <w:color w:val="auto"/>
          <w:sz w:val="24"/>
          <w:szCs w:val="24"/>
          <w:highlight w:val="none"/>
          <w:lang w:eastAsia="zh-CN"/>
        </w:rPr>
        <w:t>供应商</w:t>
      </w:r>
      <w:r>
        <w:rPr>
          <w:rFonts w:hint="eastAsia" w:ascii="宋体" w:hAnsi="宋体"/>
          <w:b/>
          <w:bCs/>
          <w:color w:val="auto"/>
          <w:sz w:val="24"/>
          <w:szCs w:val="24"/>
          <w:highlight w:val="none"/>
        </w:rPr>
        <w:t>提供相关财务状况、缴纳税收和社会保障资金等证明材料，具体格式详见招标文件第六章投标文件格式</w:t>
      </w:r>
      <w:r>
        <w:rPr>
          <w:rFonts w:hint="eastAsia" w:ascii="宋体" w:hAnsi="宋体"/>
          <w:color w:val="auto"/>
          <w:sz w:val="24"/>
          <w:szCs w:val="24"/>
          <w:highlight w:val="none"/>
          <w:lang w:eastAsia="zh-CN"/>
        </w:rPr>
        <w:t>；</w:t>
      </w:r>
    </w:p>
    <w:p w14:paraId="213C4D0C">
      <w:pPr>
        <w:keepNext w:val="0"/>
        <w:keepLines w:val="0"/>
        <w:pageBreakBefore w:val="0"/>
        <w:widowControl w:val="0"/>
        <w:spacing w:line="560" w:lineRule="exact"/>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具备履行合同所必需的设备和专业技术能力的声明及证明材料；</w:t>
      </w:r>
    </w:p>
    <w:p w14:paraId="414672A5">
      <w:pPr>
        <w:keepNext w:val="0"/>
        <w:keepLines w:val="0"/>
        <w:pageBreakBefore w:val="0"/>
        <w:widowControl w:val="0"/>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参加政府采购活动前3年内在经营活动中没有重大违法记录的声明。</w:t>
      </w:r>
    </w:p>
    <w:p w14:paraId="3E884E8C">
      <w:pPr>
        <w:keepNext w:val="0"/>
        <w:keepLines w:val="0"/>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落实政府采购政策需满足的资格要求：</w:t>
      </w:r>
      <w:r>
        <w:rPr>
          <w:rFonts w:hint="eastAsia" w:ascii="宋体" w:hAnsi="宋体"/>
          <w:color w:val="auto"/>
          <w:sz w:val="24"/>
          <w:szCs w:val="24"/>
          <w:highlight w:val="none"/>
          <w:lang w:val="en-US" w:eastAsia="zh-CN"/>
        </w:rPr>
        <w:t>无。</w:t>
      </w:r>
    </w:p>
    <w:p w14:paraId="38F8857C">
      <w:pPr>
        <w:keepNext w:val="0"/>
        <w:keepLines w:val="0"/>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）本项目的特定资格要求：</w:t>
      </w:r>
    </w:p>
    <w:p w14:paraId="5585669A">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bookmarkStart w:id="30" w:name="_Toc21470"/>
      <w:bookmarkStart w:id="31" w:name="_Toc22630"/>
      <w:r>
        <w:rPr>
          <w:rFonts w:hint="eastAsia" w:ascii="宋体" w:hAnsi="宋体"/>
          <w:color w:val="auto"/>
          <w:sz w:val="24"/>
          <w:szCs w:val="24"/>
          <w:highlight w:val="none"/>
          <w:lang w:val="en-US" w:eastAsia="zh-CN"/>
        </w:rPr>
        <w:t>1、本项目不接受进口产品（进口产品是指通过中国海关报关验放进入中国境内且产自关境外的产品）；</w:t>
      </w:r>
    </w:p>
    <w:p w14:paraId="3F1BD533">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p>
    <w:p w14:paraId="4C012DAB">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s="宋体"/>
          <w:bCs/>
          <w:color w:val="auto"/>
          <w:sz w:val="24"/>
          <w:szCs w:val="24"/>
          <w:highlight w:val="none"/>
          <w:lang w:val="en-US" w:eastAsia="zh-CN"/>
        </w:rPr>
        <w:t>供应商具有有效期内的《道路运输经营许可证》；</w:t>
      </w:r>
    </w:p>
    <w:p w14:paraId="5424C793">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4、本项目中标后不允许分包或转包；</w:t>
      </w:r>
    </w:p>
    <w:p w14:paraId="00695CD1">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5、本项目</w:t>
      </w:r>
      <w:r>
        <w:rPr>
          <w:rFonts w:hint="eastAsia" w:ascii="宋体" w:hAnsi="宋体"/>
          <w:color w:val="auto"/>
          <w:sz w:val="24"/>
          <w:szCs w:val="24"/>
          <w:highlight w:val="none"/>
          <w:u w:val="single"/>
          <w:lang w:val="en-US" w:eastAsia="zh-CN"/>
        </w:rPr>
        <w:t xml:space="preserve"> 不接受 </w:t>
      </w:r>
      <w:r>
        <w:rPr>
          <w:rFonts w:hint="eastAsia" w:ascii="宋体" w:hAnsi="宋体"/>
          <w:color w:val="auto"/>
          <w:sz w:val="24"/>
          <w:szCs w:val="24"/>
          <w:highlight w:val="none"/>
          <w:lang w:val="en-US" w:eastAsia="zh-CN"/>
        </w:rPr>
        <w:t>联合体投标（接受/不接受）；</w:t>
      </w:r>
    </w:p>
    <w:p w14:paraId="205073FC">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在“信用中国”网站（www.creditchina.gov.cn）查询，无被列入失信被执行人、重大税收违法案件当事人名单、政府采购严重失信行为记录名单及其他不符合《中华人民共和国政府采购法》第二十二条规定条件的信用记录。（采购人或采购代理机构通过信用中国网站（www.creditchina.gov.cn）、中国政府采购网（www.ccgp.gov.cn），对供应商信用记录情况进行查询，查询结果页面打印留存。投标文件中无需提供证明材料）；</w:t>
      </w:r>
    </w:p>
    <w:p w14:paraId="2076D719">
      <w:pPr>
        <w:keepNext w:val="0"/>
        <w:keepLines w:val="0"/>
        <w:pageBreakBefore w:val="0"/>
        <w:widowControl w:val="0"/>
        <w:kinsoku/>
        <w:wordWrap/>
        <w:overflowPunct/>
        <w:topLinePunct w:val="0"/>
        <w:autoSpaceDE/>
        <w:autoSpaceDN/>
        <w:bidi w:val="0"/>
        <w:adjustRightInd/>
        <w:snapToGrid/>
        <w:spacing w:line="560" w:lineRule="exact"/>
        <w:ind w:left="0" w:firstLine="482"/>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7、法律、法规规定的其他条件。</w:t>
      </w:r>
    </w:p>
    <w:p w14:paraId="07741C46">
      <w:pPr>
        <w:pStyle w:val="187"/>
        <w:spacing w:before="145" w:after="145" w:line="360" w:lineRule="auto"/>
        <w:ind w:firstLine="498"/>
        <w:rPr>
          <w:color w:val="auto"/>
          <w:highlight w:val="none"/>
        </w:rPr>
      </w:pPr>
      <w:r>
        <w:rPr>
          <w:rFonts w:hint="eastAsia"/>
          <w:color w:val="auto"/>
          <w:highlight w:val="none"/>
        </w:rPr>
        <w:t>三、获取招标文件</w:t>
      </w:r>
      <w:bookmarkEnd w:id="25"/>
      <w:bookmarkEnd w:id="26"/>
      <w:bookmarkEnd w:id="27"/>
      <w:bookmarkEnd w:id="28"/>
      <w:bookmarkEnd w:id="29"/>
      <w:bookmarkEnd w:id="30"/>
      <w:bookmarkEnd w:id="31"/>
    </w:p>
    <w:p w14:paraId="059BB6EB">
      <w:pPr>
        <w:keepNext w:val="0"/>
        <w:keepLines w:val="0"/>
        <w:pageBreakBefore w:val="0"/>
        <w:widowControl w:val="0"/>
        <w:spacing w:line="560" w:lineRule="exact"/>
        <w:ind w:firstLine="539"/>
        <w:rPr>
          <w:rFonts w:ascii="宋体" w:hAnsi="宋体" w:cs="宋体"/>
          <w:color w:val="auto"/>
          <w:sz w:val="24"/>
          <w:szCs w:val="24"/>
          <w:highlight w:val="none"/>
        </w:rPr>
      </w:pPr>
      <w:bookmarkStart w:id="32" w:name="_Toc28359005"/>
      <w:bookmarkStart w:id="33" w:name="_Toc28359082"/>
      <w:bookmarkStart w:id="34" w:name="_Toc35393793"/>
      <w:bookmarkStart w:id="35" w:name="_Toc35393624"/>
      <w:bookmarkStart w:id="36" w:name="_Toc38985266"/>
      <w:r>
        <w:rPr>
          <w:rFonts w:hint="eastAsia" w:ascii="宋体" w:hAnsi="宋体" w:cs="宋体"/>
          <w:color w:val="auto"/>
          <w:sz w:val="24"/>
          <w:szCs w:val="24"/>
          <w:highlight w:val="none"/>
        </w:rPr>
        <w:t>1.时间：</w:t>
      </w:r>
      <w:r>
        <w:rPr>
          <w:rFonts w:hint="eastAsia" w:ascii="宋体" w:hAnsi="宋体" w:cs="宋体"/>
          <w:color w:val="auto"/>
          <w:sz w:val="24"/>
          <w:szCs w:val="24"/>
          <w:highlight w:val="none"/>
          <w:lang w:eastAsia="zh-CN"/>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日至</w:t>
      </w:r>
      <w:r>
        <w:rPr>
          <w:rFonts w:hint="eastAsia" w:ascii="宋体" w:hAnsi="宋体" w:cs="宋体"/>
          <w:color w:val="auto"/>
          <w:sz w:val="24"/>
          <w:szCs w:val="24"/>
          <w:highlight w:val="none"/>
          <w:lang w:eastAsia="zh-CN"/>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日23:59止（北京时间）。</w:t>
      </w:r>
    </w:p>
    <w:p w14:paraId="6F6F907F">
      <w:pPr>
        <w:keepNext w:val="0"/>
        <w:keepLines w:val="0"/>
        <w:pageBreakBefore w:val="0"/>
        <w:widowControl w:val="0"/>
        <w:spacing w:line="560" w:lineRule="exact"/>
        <w:ind w:firstLine="539"/>
        <w:rPr>
          <w:rFonts w:hint="eastAsia" w:ascii="宋体" w:hAnsi="宋体" w:cs="宋体"/>
          <w:color w:val="auto"/>
          <w:sz w:val="24"/>
          <w:szCs w:val="24"/>
          <w:highlight w:val="none"/>
        </w:rPr>
      </w:pPr>
      <w:r>
        <w:rPr>
          <w:rFonts w:hint="eastAsia" w:ascii="宋体" w:hAnsi="宋体" w:cs="宋体"/>
          <w:color w:val="auto"/>
          <w:sz w:val="24"/>
          <w:szCs w:val="24"/>
          <w:highlight w:val="none"/>
        </w:rPr>
        <w:t>2.地点：在“江苏政府采购网”自行免费下载招标文件。</w:t>
      </w:r>
    </w:p>
    <w:p w14:paraId="3AE1E83F">
      <w:pPr>
        <w:keepNext w:val="0"/>
        <w:keepLines w:val="0"/>
        <w:pageBreakBefore w:val="0"/>
        <w:widowControl w:val="0"/>
        <w:spacing w:line="560" w:lineRule="exact"/>
        <w:ind w:firstLine="539"/>
        <w:rPr>
          <w:rFonts w:hint="eastAsia" w:ascii="宋体" w:hAnsi="宋体" w:cs="宋体"/>
          <w:color w:val="auto"/>
          <w:sz w:val="24"/>
          <w:szCs w:val="24"/>
          <w:highlight w:val="none"/>
        </w:rPr>
      </w:pPr>
      <w:r>
        <w:rPr>
          <w:rFonts w:hint="eastAsia" w:ascii="宋体" w:hAnsi="宋体" w:cs="宋体"/>
          <w:color w:val="auto"/>
          <w:sz w:val="24"/>
          <w:szCs w:val="24"/>
          <w:highlight w:val="none"/>
        </w:rPr>
        <w:t>3.方式：登录http://jszfcg.jsczt.cn/或进入江苏政府采购网，点击“苏采云”进入系统。</w:t>
      </w:r>
    </w:p>
    <w:p w14:paraId="6156DC2E">
      <w:pPr>
        <w:keepNext w:val="0"/>
        <w:keepLines w:val="0"/>
        <w:pageBreakBefore w:val="0"/>
        <w:widowControl w:val="0"/>
        <w:spacing w:line="560" w:lineRule="exact"/>
        <w:ind w:firstLine="539"/>
        <w:rPr>
          <w:rFonts w:ascii="宋体" w:hAnsi="宋体" w:cs="宋体"/>
          <w:color w:val="auto"/>
          <w:sz w:val="24"/>
          <w:szCs w:val="24"/>
          <w:highlight w:val="none"/>
        </w:rPr>
      </w:pPr>
      <w:r>
        <w:rPr>
          <w:rFonts w:hint="eastAsia" w:ascii="宋体" w:hAnsi="宋体" w:cs="宋体"/>
          <w:color w:val="auto"/>
          <w:sz w:val="24"/>
          <w:szCs w:val="24"/>
          <w:highlight w:val="none"/>
        </w:rPr>
        <w:t>4.售价：0.00元</w:t>
      </w:r>
    </w:p>
    <w:p w14:paraId="233EADCB">
      <w:pPr>
        <w:pStyle w:val="187"/>
        <w:spacing w:before="145" w:after="145" w:line="360" w:lineRule="auto"/>
        <w:ind w:firstLine="498"/>
        <w:rPr>
          <w:color w:val="auto"/>
          <w:highlight w:val="none"/>
        </w:rPr>
      </w:pPr>
      <w:bookmarkStart w:id="37" w:name="_Toc19306"/>
      <w:bookmarkStart w:id="38" w:name="_Toc20677"/>
      <w:r>
        <w:rPr>
          <w:rFonts w:hint="eastAsia"/>
          <w:color w:val="auto"/>
          <w:highlight w:val="none"/>
        </w:rPr>
        <w:t>四、提交投标文件</w:t>
      </w:r>
      <w:bookmarkEnd w:id="32"/>
      <w:bookmarkEnd w:id="33"/>
      <w:r>
        <w:rPr>
          <w:rFonts w:hint="eastAsia"/>
          <w:color w:val="auto"/>
          <w:highlight w:val="none"/>
        </w:rPr>
        <w:t>截止时间、开标时间和地点</w:t>
      </w:r>
      <w:bookmarkEnd w:id="34"/>
      <w:bookmarkEnd w:id="35"/>
      <w:bookmarkEnd w:id="36"/>
      <w:bookmarkEnd w:id="37"/>
      <w:bookmarkEnd w:id="38"/>
    </w:p>
    <w:p w14:paraId="29CEF160">
      <w:pPr>
        <w:keepNext w:val="0"/>
        <w:keepLines w:val="0"/>
        <w:pageBreakBefore w:val="0"/>
        <w:widowControl w:val="0"/>
        <w:spacing w:line="56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2025年</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lang w:eastAsia="zh-CN"/>
        </w:rPr>
        <w:t>月</w:t>
      </w:r>
      <w:r>
        <w:rPr>
          <w:rFonts w:hint="eastAsia" w:ascii="宋体" w:hAnsi="宋体"/>
          <w:bCs/>
          <w:color w:val="auto"/>
          <w:sz w:val="24"/>
          <w:szCs w:val="24"/>
          <w:highlight w:val="none"/>
          <w:lang w:val="en-US" w:eastAsia="zh-CN"/>
        </w:rPr>
        <w:t>3</w:t>
      </w:r>
      <w:r>
        <w:rPr>
          <w:rFonts w:hint="eastAsia" w:ascii="宋体" w:hAnsi="宋体" w:cs="宋体"/>
          <w:color w:val="auto"/>
          <w:sz w:val="24"/>
          <w:szCs w:val="24"/>
          <w:highlight w:val="none"/>
        </w:rPr>
        <w:t>日</w:t>
      </w:r>
      <w:r>
        <w:rPr>
          <w:rFonts w:hint="eastAsia" w:ascii="宋体" w:hAnsi="宋体"/>
          <w:bCs/>
          <w:color w:val="auto"/>
          <w:sz w:val="24"/>
          <w:szCs w:val="24"/>
          <w:highlight w:val="none"/>
          <w:lang w:val="en-US" w:eastAsia="zh-CN"/>
        </w:rPr>
        <w:t>09</w:t>
      </w:r>
      <w:r>
        <w:rPr>
          <w:rFonts w:hint="eastAsia" w:ascii="宋体" w:hAnsi="宋体"/>
          <w:bCs/>
          <w:color w:val="auto"/>
          <w:sz w:val="24"/>
          <w:szCs w:val="24"/>
          <w:highlight w:val="none"/>
        </w:rPr>
        <w:t>点00分（北京时间）</w:t>
      </w:r>
    </w:p>
    <w:p w14:paraId="4D183BEC">
      <w:pPr>
        <w:keepNext w:val="0"/>
        <w:keepLines w:val="0"/>
        <w:pageBreakBefore w:val="0"/>
        <w:widowControl w:val="0"/>
        <w:spacing w:line="56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2.地点：“苏采云”政府采购交易系统网上开标大厅。</w:t>
      </w:r>
    </w:p>
    <w:p w14:paraId="7635DF97">
      <w:pPr>
        <w:pStyle w:val="187"/>
        <w:spacing w:before="145" w:after="145" w:line="360" w:lineRule="auto"/>
        <w:ind w:firstLine="498"/>
        <w:rPr>
          <w:color w:val="auto"/>
          <w:highlight w:val="none"/>
        </w:rPr>
      </w:pPr>
      <w:bookmarkStart w:id="39" w:name="_Toc5821"/>
      <w:bookmarkStart w:id="40" w:name="_Toc14305"/>
      <w:bookmarkStart w:id="41" w:name="_Toc35393794"/>
      <w:bookmarkStart w:id="42" w:name="_Toc35393625"/>
      <w:bookmarkStart w:id="43" w:name="_Toc28359007"/>
      <w:bookmarkStart w:id="44" w:name="_Toc38985267"/>
      <w:bookmarkStart w:id="45" w:name="_Toc28359084"/>
      <w:r>
        <w:rPr>
          <w:rFonts w:hint="eastAsia"/>
          <w:color w:val="auto"/>
          <w:highlight w:val="none"/>
        </w:rPr>
        <w:t>五、公告期限</w:t>
      </w:r>
      <w:bookmarkEnd w:id="39"/>
      <w:bookmarkEnd w:id="40"/>
      <w:bookmarkEnd w:id="41"/>
      <w:bookmarkEnd w:id="42"/>
      <w:bookmarkEnd w:id="43"/>
      <w:bookmarkEnd w:id="44"/>
      <w:bookmarkEnd w:id="45"/>
    </w:p>
    <w:p w14:paraId="53CE668F">
      <w:pPr>
        <w:keepNext w:val="0"/>
        <w:keepLines w:val="0"/>
        <w:pageBreakBefore w:val="0"/>
        <w:widowControl w:val="0"/>
        <w:spacing w:line="560" w:lineRule="exact"/>
        <w:ind w:firstLine="480"/>
        <w:rPr>
          <w:rFonts w:ascii="宋体" w:hAnsi="宋体" w:cs="宋体"/>
          <w:color w:val="auto"/>
          <w:sz w:val="24"/>
          <w:szCs w:val="24"/>
          <w:highlight w:val="none"/>
        </w:rPr>
      </w:pPr>
      <w:bookmarkStart w:id="46" w:name="_Toc35393626"/>
      <w:bookmarkStart w:id="47" w:name="_Toc38985268"/>
      <w:bookmarkStart w:id="48" w:name="_Toc35393795"/>
      <w:r>
        <w:rPr>
          <w:rFonts w:hint="eastAsia" w:ascii="宋体" w:hAnsi="宋体" w:cs="宋体"/>
          <w:color w:val="auto"/>
          <w:sz w:val="24"/>
          <w:szCs w:val="24"/>
          <w:highlight w:val="none"/>
        </w:rPr>
        <w:t>自本公告发布之日起5个工作日。</w:t>
      </w:r>
    </w:p>
    <w:p w14:paraId="5EC000F6">
      <w:pPr>
        <w:pStyle w:val="187"/>
        <w:spacing w:before="145" w:after="145" w:line="360" w:lineRule="auto"/>
        <w:ind w:firstLine="498"/>
        <w:rPr>
          <w:color w:val="auto"/>
          <w:highlight w:val="none"/>
        </w:rPr>
      </w:pPr>
      <w:bookmarkStart w:id="49" w:name="_Toc19730"/>
      <w:bookmarkStart w:id="50" w:name="_Toc22483"/>
      <w:r>
        <w:rPr>
          <w:rFonts w:hint="eastAsia"/>
          <w:color w:val="auto"/>
          <w:highlight w:val="none"/>
        </w:rPr>
        <w:t>六、其他补充事宜</w:t>
      </w:r>
      <w:bookmarkEnd w:id="46"/>
      <w:bookmarkEnd w:id="47"/>
      <w:bookmarkEnd w:id="48"/>
      <w:bookmarkEnd w:id="49"/>
      <w:bookmarkEnd w:id="50"/>
    </w:p>
    <w:p w14:paraId="5E1C9E24">
      <w:pPr>
        <w:pageBreakBefore w:val="0"/>
        <w:spacing w:line="360" w:lineRule="auto"/>
        <w:ind w:left="0" w:firstLine="480"/>
        <w:rPr>
          <w:rFonts w:hint="eastAsia" w:ascii="宋体" w:hAnsi="宋体" w:cs="宋体"/>
          <w:color w:val="auto"/>
          <w:sz w:val="24"/>
          <w:szCs w:val="24"/>
          <w:highlight w:val="none"/>
        </w:rPr>
      </w:pPr>
      <w:bookmarkStart w:id="51" w:name="_Toc35393627"/>
      <w:bookmarkStart w:id="52" w:name="_Toc28359008"/>
      <w:bookmarkStart w:id="53" w:name="_Toc26205"/>
      <w:bookmarkStart w:id="54" w:name="_Toc5783"/>
      <w:bookmarkStart w:id="55" w:name="_Toc38985269"/>
      <w:bookmarkStart w:id="56" w:name="_Toc35393796"/>
      <w:bookmarkStart w:id="57" w:name="_Toc28359085"/>
      <w:r>
        <w:rPr>
          <w:rFonts w:hint="eastAsia" w:ascii="宋体" w:hAnsi="宋体" w:cs="宋体"/>
          <w:color w:val="auto"/>
          <w:sz w:val="24"/>
          <w:szCs w:val="24"/>
          <w:highlight w:val="none"/>
        </w:rPr>
        <w:t>1.本招标文件中标注★的款项为实质性响应要求和条件，如不满足将按无效响应处理。</w:t>
      </w:r>
    </w:p>
    <w:p w14:paraId="6CC4BD0B">
      <w:pPr>
        <w:pageBreakBefore w:val="0"/>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.无论出于何种原因，采购人在采购活动开始前可对</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进行修改、补充或变更，其内容作为</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的重要组成部分，请各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关注江苏政府采购网。若因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自身原因未及时关注本项目有关修改、补充或变更信息，导致投标文件编制或提交失误，由此造成的一切损失由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自行承担。</w:t>
      </w:r>
    </w:p>
    <w:p w14:paraId="373C0DEE">
      <w:pPr>
        <w:pageBreakBefore w:val="0"/>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3.供应商</w:t>
      </w:r>
      <w:r>
        <w:rPr>
          <w:rFonts w:hint="eastAsia" w:ascii="宋体" w:hAnsi="宋体" w:cs="宋体"/>
          <w:color w:val="auto"/>
          <w:sz w:val="24"/>
          <w:szCs w:val="24"/>
          <w:highlight w:val="none"/>
        </w:rPr>
        <w:t>制作投标文件时如遇投标工具中投标格式与采购文件不一致，请</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按照采购文件中投标格</w:t>
      </w:r>
      <w:r>
        <w:rPr>
          <w:rFonts w:hint="eastAsia" w:ascii="宋体" w:hAnsi="宋体" w:cs="宋体"/>
          <w:color w:val="auto"/>
          <w:sz w:val="24"/>
          <w:szCs w:val="24"/>
          <w:highlight w:val="none"/>
          <w:lang w:eastAsia="zh-CN"/>
        </w:rPr>
        <w:t>式的</w:t>
      </w:r>
      <w:r>
        <w:rPr>
          <w:rFonts w:hint="eastAsia" w:ascii="宋体" w:hAnsi="宋体" w:cs="宋体"/>
          <w:color w:val="auto"/>
          <w:sz w:val="24"/>
          <w:szCs w:val="24"/>
          <w:highlight w:val="none"/>
        </w:rPr>
        <w:t>要求编制一份投标文件资料添加在投标工具其他材料中。</w:t>
      </w:r>
    </w:p>
    <w:p w14:paraId="437319AA">
      <w:pPr>
        <w:pageBreakBefore w:val="0"/>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根据苏财购</w:t>
      </w:r>
      <w:r>
        <w:rPr>
          <w:rFonts w:hint="eastAsia" w:ascii="宋体" w:hAnsi="宋体" w:cs="宋体"/>
          <w:color w:val="auto"/>
          <w:sz w:val="24"/>
          <w:szCs w:val="24"/>
          <w:highlight w:val="none"/>
          <w:lang w:eastAsia="zh-CN"/>
        </w:rPr>
        <w:t>〔2020〕52号</w:t>
      </w:r>
      <w:r>
        <w:rPr>
          <w:rFonts w:hint="eastAsia" w:ascii="宋体" w:hAnsi="宋体" w:cs="宋体"/>
          <w:color w:val="auto"/>
          <w:sz w:val="24"/>
          <w:szCs w:val="24"/>
          <w:highlight w:val="none"/>
        </w:rPr>
        <w:t>规定，本项目不收取投标保证金。</w:t>
      </w:r>
    </w:p>
    <w:p w14:paraId="105C2960">
      <w:pPr>
        <w:pStyle w:val="187"/>
        <w:spacing w:before="145" w:after="145" w:line="360" w:lineRule="auto"/>
        <w:ind w:firstLine="498"/>
        <w:rPr>
          <w:color w:val="auto"/>
          <w:highlight w:val="none"/>
        </w:rPr>
      </w:pPr>
      <w:r>
        <w:rPr>
          <w:rFonts w:hint="eastAsia"/>
          <w:color w:val="auto"/>
          <w:highlight w:val="none"/>
        </w:rPr>
        <w:t>七、本次招标联系方式</w:t>
      </w:r>
      <w:bookmarkEnd w:id="51"/>
      <w:bookmarkEnd w:id="52"/>
      <w:bookmarkEnd w:id="53"/>
      <w:bookmarkEnd w:id="54"/>
      <w:bookmarkEnd w:id="55"/>
      <w:bookmarkEnd w:id="56"/>
      <w:bookmarkEnd w:id="57"/>
    </w:p>
    <w:p w14:paraId="5C3DBA8E">
      <w:pPr>
        <w:keepNext w:val="0"/>
        <w:keepLines w:val="0"/>
        <w:pageBreakBefore w:val="0"/>
        <w:widowControl/>
        <w:spacing w:line="560" w:lineRule="exact"/>
        <w:ind w:firstLine="720"/>
        <w:jc w:val="left"/>
        <w:rPr>
          <w:rFonts w:ascii="宋体" w:hAnsi="宋体"/>
          <w:color w:val="auto"/>
          <w:sz w:val="24"/>
          <w:szCs w:val="24"/>
          <w:highlight w:val="none"/>
        </w:rPr>
      </w:pPr>
      <w:r>
        <w:rPr>
          <w:rFonts w:hint="eastAsia" w:ascii="宋体" w:hAnsi="宋体" w:cs="宋体"/>
          <w:color w:val="auto"/>
          <w:sz w:val="24"/>
          <w:szCs w:val="24"/>
          <w:highlight w:val="none"/>
        </w:rPr>
        <w:t>1.采购人信息</w:t>
      </w:r>
    </w:p>
    <w:p w14:paraId="06F8CF68">
      <w:pPr>
        <w:keepNext w:val="0"/>
        <w:keepLines w:val="0"/>
        <w:pageBreakBefore w:val="0"/>
        <w:spacing w:line="560" w:lineRule="exact"/>
        <w:ind w:firstLine="72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连云港生物工程中等专业学校</w:t>
      </w:r>
    </w:p>
    <w:p w14:paraId="72C1790C">
      <w:pPr>
        <w:keepNext w:val="0"/>
        <w:keepLines w:val="0"/>
        <w:pageBreakBefore w:val="0"/>
        <w:spacing w:line="560" w:lineRule="exact"/>
        <w:ind w:left="1079" w:hanging="30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地址：</w:t>
      </w:r>
      <w:r>
        <w:rPr>
          <w:rFonts w:hint="eastAsia" w:ascii="宋体" w:hAnsi="宋体"/>
          <w:color w:val="auto"/>
          <w:sz w:val="24"/>
          <w:szCs w:val="24"/>
          <w:highlight w:val="none"/>
          <w:lang w:eastAsia="zh-CN"/>
        </w:rPr>
        <w:t>连云港市连云区徐圩街道</w:t>
      </w:r>
    </w:p>
    <w:p w14:paraId="1FDF4E11">
      <w:pPr>
        <w:keepNext w:val="0"/>
        <w:keepLines w:val="0"/>
        <w:pageBreakBefore w:val="0"/>
        <w:spacing w:line="560" w:lineRule="exact"/>
        <w:ind w:left="1079" w:hanging="300"/>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赵老师</w:t>
      </w:r>
    </w:p>
    <w:p w14:paraId="57909C59">
      <w:pPr>
        <w:keepNext w:val="0"/>
        <w:keepLines w:val="0"/>
        <w:pageBreakBefore w:val="0"/>
        <w:spacing w:line="560" w:lineRule="exact"/>
        <w:ind w:left="1079" w:hanging="30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联系方式：</w:t>
      </w:r>
      <w:bookmarkStart w:id="58" w:name="_Toc28359086"/>
      <w:bookmarkStart w:id="59" w:name="_Toc28359009"/>
      <w:r>
        <w:rPr>
          <w:rFonts w:hint="eastAsia" w:ascii="宋体" w:hAnsi="宋体"/>
          <w:color w:val="auto"/>
          <w:sz w:val="24"/>
          <w:szCs w:val="24"/>
          <w:highlight w:val="none"/>
          <w:lang w:eastAsia="zh-CN"/>
        </w:rPr>
        <w:t>15896100002</w:t>
      </w:r>
    </w:p>
    <w:p w14:paraId="1F1EAF71">
      <w:pPr>
        <w:keepNext w:val="0"/>
        <w:keepLines w:val="0"/>
        <w:pageBreakBefore w:val="0"/>
        <w:spacing w:line="560" w:lineRule="exact"/>
        <w:ind w:left="1079" w:hanging="300"/>
        <w:jc w:val="left"/>
        <w:rPr>
          <w:rFonts w:hint="eastAsia" w:ascii="宋体" w:hAnsi="宋体" w:cs="宋体"/>
          <w:color w:val="auto"/>
          <w:sz w:val="24"/>
          <w:szCs w:val="24"/>
          <w:highlight w:val="none"/>
        </w:rPr>
      </w:pPr>
    </w:p>
    <w:p w14:paraId="2C11E230">
      <w:pPr>
        <w:keepNext w:val="0"/>
        <w:keepLines w:val="0"/>
        <w:pageBreakBefore w:val="0"/>
        <w:spacing w:line="560" w:lineRule="exact"/>
        <w:ind w:left="1079" w:hanging="300"/>
        <w:jc w:val="left"/>
        <w:rPr>
          <w:rFonts w:ascii="宋体" w:hAnsi="宋体"/>
          <w:color w:val="auto"/>
          <w:sz w:val="24"/>
          <w:szCs w:val="24"/>
          <w:highlight w:val="none"/>
        </w:rPr>
      </w:pPr>
      <w:r>
        <w:rPr>
          <w:rFonts w:hint="eastAsia" w:ascii="宋体" w:hAnsi="宋体" w:cs="宋体"/>
          <w:color w:val="auto"/>
          <w:sz w:val="24"/>
          <w:szCs w:val="24"/>
          <w:highlight w:val="none"/>
        </w:rPr>
        <w:t>2.</w:t>
      </w:r>
      <w:bookmarkEnd w:id="58"/>
      <w:bookmarkEnd w:id="59"/>
      <w:r>
        <w:rPr>
          <w:rFonts w:hint="eastAsia" w:ascii="宋体" w:hAnsi="宋体" w:cs="宋体"/>
          <w:color w:val="auto"/>
          <w:sz w:val="24"/>
          <w:szCs w:val="24"/>
          <w:highlight w:val="none"/>
        </w:rPr>
        <w:t>采购代理机构信息</w:t>
      </w:r>
    </w:p>
    <w:p w14:paraId="335B4E5C">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江苏伟之达项目管理咨询有限公司</w:t>
      </w:r>
    </w:p>
    <w:p w14:paraId="2D5D2E93">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地址：</w:t>
      </w:r>
      <w:r>
        <w:rPr>
          <w:rFonts w:hint="eastAsia" w:ascii="宋体" w:hAnsi="宋体"/>
          <w:color w:val="auto"/>
          <w:sz w:val="24"/>
          <w:szCs w:val="24"/>
          <w:highlight w:val="none"/>
          <w:lang w:eastAsia="zh-CN"/>
        </w:rPr>
        <w:t>连云港市海州区新大街9号凤凰·光辉岁月商务花园3号楼一层</w:t>
      </w:r>
    </w:p>
    <w:p w14:paraId="2F3A17F8">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eastAsia="zh-CN"/>
        </w:rPr>
        <w:t>刘工</w:t>
      </w:r>
    </w:p>
    <w:p w14:paraId="47918457">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联系方式：</w:t>
      </w:r>
      <w:bookmarkStart w:id="60" w:name="_Toc28359087"/>
      <w:bookmarkStart w:id="61" w:name="_Toc28359010"/>
      <w:r>
        <w:rPr>
          <w:rFonts w:hint="eastAsia" w:ascii="宋体" w:hAnsi="宋体"/>
          <w:color w:val="auto"/>
          <w:sz w:val="24"/>
          <w:szCs w:val="24"/>
          <w:highlight w:val="none"/>
          <w:lang w:eastAsia="zh-CN"/>
        </w:rPr>
        <w:t>18115991881</w:t>
      </w:r>
    </w:p>
    <w:p w14:paraId="69B46052">
      <w:pPr>
        <w:keepNext w:val="0"/>
        <w:keepLines w:val="0"/>
        <w:pageBreakBefore w:val="0"/>
        <w:spacing w:line="560" w:lineRule="exact"/>
        <w:ind w:firstLine="720"/>
        <w:rPr>
          <w:rFonts w:hint="eastAsia" w:ascii="宋体" w:hAnsi="宋体"/>
          <w:color w:val="auto"/>
          <w:sz w:val="24"/>
          <w:szCs w:val="24"/>
          <w:highlight w:val="none"/>
        </w:rPr>
      </w:pPr>
    </w:p>
    <w:p w14:paraId="719DDBC6">
      <w:pPr>
        <w:keepNext w:val="0"/>
        <w:keepLines w:val="0"/>
        <w:pageBreakBefore w:val="0"/>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3.项目联系方式</w:t>
      </w:r>
    </w:p>
    <w:p w14:paraId="4B7AC2FB">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项目联系人：刘</w:t>
      </w:r>
      <w:r>
        <w:rPr>
          <w:rFonts w:hint="eastAsia" w:ascii="宋体" w:hAnsi="宋体"/>
          <w:color w:val="auto"/>
          <w:sz w:val="24"/>
          <w:szCs w:val="24"/>
          <w:highlight w:val="none"/>
          <w:lang w:val="en-US" w:eastAsia="zh-CN"/>
        </w:rPr>
        <w:t>工</w:t>
      </w:r>
    </w:p>
    <w:p w14:paraId="0BEEB940">
      <w:pPr>
        <w:keepNext w:val="0"/>
        <w:keepLines w:val="0"/>
        <w:pageBreakBefore w:val="0"/>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电话：</w:t>
      </w:r>
      <w:r>
        <w:rPr>
          <w:rFonts w:hint="eastAsia" w:ascii="宋体" w:hAnsi="宋体"/>
          <w:color w:val="auto"/>
          <w:sz w:val="24"/>
          <w:szCs w:val="24"/>
          <w:highlight w:val="none"/>
          <w:lang w:eastAsia="zh-CN"/>
        </w:rPr>
        <w:t>18115991881</w:t>
      </w:r>
    </w:p>
    <w:bookmarkEnd w:id="60"/>
    <w:bookmarkEnd w:id="61"/>
    <w:p w14:paraId="4519429E">
      <w:pPr>
        <w:pStyle w:val="187"/>
        <w:spacing w:before="145" w:after="145" w:line="360" w:lineRule="auto"/>
        <w:ind w:firstLine="498"/>
        <w:rPr>
          <w:color w:val="auto"/>
          <w:highlight w:val="none"/>
        </w:rPr>
      </w:pPr>
      <w:bookmarkStart w:id="62" w:name="_Toc5164"/>
      <w:bookmarkStart w:id="63" w:name="_Toc25874"/>
      <w:r>
        <w:rPr>
          <w:rFonts w:hint="eastAsia"/>
          <w:color w:val="auto"/>
          <w:highlight w:val="none"/>
        </w:rPr>
        <w:t>八、其他</w:t>
      </w:r>
      <w:bookmarkEnd w:id="62"/>
      <w:bookmarkEnd w:id="63"/>
    </w:p>
    <w:p w14:paraId="4876D1CC">
      <w:pPr>
        <w:tabs>
          <w:tab w:val="left" w:pos="900"/>
        </w:tabs>
        <w:spacing w:line="56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rPr>
        <w:t>通过“苏采云”系统参与政府采购项目，需要办理（更换）CA数字证书和电子签章。具体办理指南和操作手册见链接：http://www.ccgp-jiangsu.gov.cn/jiangsu/zlxz/ee/ee3a4bc5a3454aa2b0d9312230633ce9.html</w:t>
      </w:r>
    </w:p>
    <w:p w14:paraId="3268997C">
      <w:pPr>
        <w:tabs>
          <w:tab w:val="left" w:pos="900"/>
        </w:tabs>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请</w:t>
      </w:r>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rPr>
        <w:t>按照《操作手册》要求获取招标文件，制作、递交（上传）电子投标文件，参加开标，澄清、说明或者补正。因</w:t>
      </w:r>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rPr>
        <w:t>未按要求操作原因导致电子投标文件被拒绝、造成无效响应的，自行承担一切损失。</w:t>
      </w:r>
    </w:p>
    <w:p w14:paraId="534460E2">
      <w:pPr>
        <w:pStyle w:val="186"/>
        <w:jc w:val="center"/>
        <w:rPr>
          <w:rFonts w:hint="eastAsia" w:ascii="黑体" w:eastAsia="黑体"/>
          <w:b w:val="0"/>
          <w:bCs w:val="0"/>
          <w:color w:val="auto"/>
          <w:highlight w:val="none"/>
        </w:rPr>
      </w:pPr>
      <w:r>
        <w:rPr>
          <w:rFonts w:ascii="宋体" w:hAnsi="宋体"/>
          <w:color w:val="auto"/>
          <w:sz w:val="24"/>
          <w:szCs w:val="24"/>
          <w:highlight w:val="none"/>
        </w:rPr>
        <w:br w:type="page" w:clear="all"/>
      </w:r>
      <w:bookmarkStart w:id="64" w:name="_Toc120614211"/>
      <w:bookmarkStart w:id="65" w:name="_Toc28147"/>
      <w:bookmarkStart w:id="66" w:name="_Toc18854"/>
      <w:r>
        <w:rPr>
          <w:rFonts w:hint="eastAsia" w:ascii="黑体" w:hAnsi="Times New Roman" w:eastAsia="黑体"/>
          <w:b w:val="0"/>
          <w:bCs w:val="0"/>
          <w:color w:val="auto"/>
          <w:highlight w:val="none"/>
        </w:rPr>
        <w:t xml:space="preserve">第二章  </w:t>
      </w:r>
      <w:bookmarkEnd w:id="1"/>
      <w:bookmarkEnd w:id="2"/>
      <w:bookmarkEnd w:id="3"/>
      <w:bookmarkEnd w:id="4"/>
      <w:bookmarkEnd w:id="5"/>
      <w:bookmarkEnd w:id="64"/>
      <w:bookmarkStart w:id="67" w:name="_Toc20823274"/>
      <w:bookmarkStart w:id="68" w:name="_Toc16938518"/>
      <w:bookmarkStart w:id="69" w:name="_Toc513029202"/>
      <w:bookmarkStart w:id="70" w:name="_Toc120614213"/>
      <w:r>
        <w:rPr>
          <w:rFonts w:hint="eastAsia" w:ascii="黑体" w:hAnsi="Times New Roman" w:eastAsia="黑体"/>
          <w:b w:val="0"/>
          <w:bCs w:val="0"/>
          <w:color w:val="auto"/>
          <w:highlight w:val="none"/>
          <w:lang w:eastAsia="zh-CN"/>
        </w:rPr>
        <w:t>供应商</w:t>
      </w:r>
      <w:r>
        <w:rPr>
          <w:rFonts w:hint="eastAsia" w:ascii="黑体" w:hAnsi="Times New Roman" w:eastAsia="黑体"/>
          <w:b w:val="0"/>
          <w:bCs w:val="0"/>
          <w:color w:val="auto"/>
          <w:highlight w:val="none"/>
        </w:rPr>
        <w:t>须知</w:t>
      </w:r>
      <w:bookmarkEnd w:id="65"/>
      <w:bookmarkEnd w:id="66"/>
      <w:bookmarkEnd w:id="67"/>
      <w:bookmarkEnd w:id="68"/>
      <w:bookmarkEnd w:id="69"/>
      <w:bookmarkEnd w:id="70"/>
    </w:p>
    <w:p w14:paraId="29717EEE">
      <w:pPr>
        <w:pStyle w:val="187"/>
        <w:pageBreakBefore w:val="0"/>
        <w:widowControl w:val="0"/>
        <w:spacing w:before="145" w:after="145" w:line="560" w:lineRule="exact"/>
        <w:ind w:firstLine="498"/>
        <w:rPr>
          <w:rFonts w:hint="eastAsia"/>
          <w:color w:val="auto"/>
          <w:highlight w:val="none"/>
        </w:rPr>
      </w:pPr>
      <w:bookmarkStart w:id="71" w:name="_Toc20823275"/>
      <w:bookmarkStart w:id="72" w:name="_Toc1598"/>
      <w:bookmarkStart w:id="73" w:name="_Toc120614214"/>
      <w:bookmarkStart w:id="74" w:name="_Toc513029203"/>
      <w:bookmarkStart w:id="75" w:name="_Toc6848"/>
      <w:bookmarkStart w:id="76" w:name="_Toc16938519"/>
      <w:r>
        <w:rPr>
          <w:rFonts w:hint="eastAsia"/>
          <w:color w:val="auto"/>
          <w:highlight w:val="none"/>
        </w:rPr>
        <w:t>一、总则</w:t>
      </w:r>
      <w:bookmarkEnd w:id="71"/>
      <w:bookmarkEnd w:id="72"/>
      <w:bookmarkEnd w:id="73"/>
      <w:bookmarkEnd w:id="74"/>
      <w:bookmarkEnd w:id="75"/>
      <w:bookmarkEnd w:id="76"/>
    </w:p>
    <w:p w14:paraId="670EFB7D">
      <w:pPr>
        <w:pStyle w:val="189"/>
        <w:pageBreakBefore w:val="0"/>
        <w:widowControl w:val="0"/>
        <w:spacing w:before="0" w:after="0" w:line="560" w:lineRule="exact"/>
        <w:ind w:firstLine="420"/>
        <w:rPr>
          <w:rFonts w:hint="eastAsia"/>
          <w:b w:val="0"/>
          <w:bCs w:val="0"/>
          <w:color w:val="auto"/>
          <w:highlight w:val="none"/>
        </w:rPr>
      </w:pPr>
      <w:bookmarkStart w:id="77" w:name="_Hlt16619475"/>
      <w:bookmarkEnd w:id="77"/>
      <w:bookmarkStart w:id="78" w:name="_Toc458694821"/>
      <w:bookmarkStart w:id="79" w:name="_Toc16938520"/>
      <w:bookmarkStart w:id="80" w:name="_Toc513029204"/>
      <w:bookmarkStart w:id="81" w:name="_Toc20823276"/>
      <w:r>
        <w:rPr>
          <w:rFonts w:hint="eastAsia"/>
          <w:b w:val="0"/>
          <w:bCs w:val="0"/>
          <w:color w:val="auto"/>
          <w:highlight w:val="none"/>
        </w:rPr>
        <w:t>1</w:t>
      </w:r>
      <w:bookmarkEnd w:id="78"/>
      <w:r>
        <w:rPr>
          <w:rFonts w:hint="eastAsia"/>
          <w:b w:val="0"/>
          <w:bCs w:val="0"/>
          <w:color w:val="auto"/>
          <w:highlight w:val="none"/>
        </w:rPr>
        <w:t>、招标方式</w:t>
      </w:r>
      <w:bookmarkEnd w:id="79"/>
      <w:bookmarkEnd w:id="80"/>
      <w:bookmarkEnd w:id="81"/>
    </w:p>
    <w:p w14:paraId="6DEAE62F">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602C7806">
      <w:pPr>
        <w:pStyle w:val="189"/>
        <w:pageBreakBefore w:val="0"/>
        <w:widowControl w:val="0"/>
        <w:spacing w:before="0" w:after="0" w:line="560" w:lineRule="exact"/>
        <w:ind w:firstLine="420"/>
        <w:rPr>
          <w:rFonts w:hint="eastAsia" w:eastAsia="黑体"/>
          <w:b w:val="0"/>
          <w:bCs w:val="0"/>
          <w:color w:val="auto"/>
          <w:highlight w:val="none"/>
          <w:lang w:eastAsia="zh-CN"/>
        </w:rPr>
      </w:pPr>
      <w:bookmarkStart w:id="82" w:name="_Toc513029205"/>
      <w:bookmarkStart w:id="83" w:name="_Toc16938521"/>
      <w:bookmarkStart w:id="84" w:name="_Toc20823277"/>
      <w:r>
        <w:rPr>
          <w:rFonts w:hint="eastAsia"/>
          <w:b w:val="0"/>
          <w:bCs w:val="0"/>
          <w:color w:val="auto"/>
          <w:highlight w:val="none"/>
        </w:rPr>
        <w:t>2、合格的</w:t>
      </w:r>
      <w:bookmarkEnd w:id="82"/>
      <w:bookmarkEnd w:id="83"/>
      <w:bookmarkEnd w:id="84"/>
      <w:r>
        <w:rPr>
          <w:rFonts w:hint="eastAsia"/>
          <w:b w:val="0"/>
          <w:bCs w:val="0"/>
          <w:color w:val="auto"/>
          <w:highlight w:val="none"/>
          <w:lang w:eastAsia="zh-CN"/>
        </w:rPr>
        <w:t>供应商</w:t>
      </w:r>
    </w:p>
    <w:p w14:paraId="3CA5571D">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2.1满足招标公告中供应商的资格要求的规定。</w:t>
      </w:r>
    </w:p>
    <w:p w14:paraId="06677CF5">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2.2 满足本文件实质性要求和条件的规定。</w:t>
      </w:r>
    </w:p>
    <w:p w14:paraId="4B5FB884">
      <w:pPr>
        <w:pStyle w:val="189"/>
        <w:pageBreakBefore w:val="0"/>
        <w:widowControl w:val="0"/>
        <w:spacing w:before="0" w:after="0" w:line="560" w:lineRule="exact"/>
        <w:ind w:firstLine="420"/>
        <w:rPr>
          <w:rFonts w:hint="eastAsia"/>
          <w:b w:val="0"/>
          <w:bCs w:val="0"/>
          <w:color w:val="auto"/>
          <w:highlight w:val="none"/>
        </w:rPr>
      </w:pPr>
      <w:bookmarkStart w:id="85" w:name="_Toc513029206"/>
      <w:bookmarkStart w:id="86" w:name="_Toc16938522"/>
      <w:bookmarkStart w:id="87" w:name="_Toc20823278"/>
      <w:r>
        <w:rPr>
          <w:rFonts w:hint="eastAsia"/>
          <w:b w:val="0"/>
          <w:bCs w:val="0"/>
          <w:color w:val="auto"/>
          <w:highlight w:val="none"/>
        </w:rPr>
        <w:t>3、适用法律</w:t>
      </w:r>
      <w:bookmarkEnd w:id="85"/>
      <w:bookmarkEnd w:id="86"/>
      <w:bookmarkEnd w:id="87"/>
    </w:p>
    <w:p w14:paraId="6EAE4FC4">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3AF68455">
      <w:pPr>
        <w:pStyle w:val="189"/>
        <w:pageBreakBefore w:val="0"/>
        <w:widowControl w:val="0"/>
        <w:spacing w:before="0" w:after="0" w:line="560" w:lineRule="exact"/>
        <w:ind w:firstLine="420"/>
        <w:rPr>
          <w:rFonts w:hint="eastAsia"/>
          <w:b w:val="0"/>
          <w:bCs w:val="0"/>
          <w:color w:val="auto"/>
          <w:highlight w:val="none"/>
        </w:rPr>
      </w:pPr>
      <w:bookmarkStart w:id="88" w:name="_Toc16938523"/>
      <w:bookmarkStart w:id="89" w:name="_Toc20823279"/>
      <w:bookmarkStart w:id="90" w:name="_Toc462564067"/>
      <w:bookmarkStart w:id="91" w:name="_Toc513029207"/>
      <w:r>
        <w:rPr>
          <w:rFonts w:hint="eastAsia"/>
          <w:b w:val="0"/>
          <w:bCs w:val="0"/>
          <w:color w:val="auto"/>
          <w:highlight w:val="none"/>
        </w:rPr>
        <w:t>4、投标费用</w:t>
      </w:r>
      <w:bookmarkEnd w:id="88"/>
      <w:bookmarkEnd w:id="89"/>
      <w:bookmarkEnd w:id="90"/>
      <w:bookmarkEnd w:id="91"/>
    </w:p>
    <w:p w14:paraId="1DA75EA0">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lang w:eastAsia="zh-CN"/>
        </w:rPr>
        <w:t>供应商</w:t>
      </w:r>
      <w:r>
        <w:rPr>
          <w:rFonts w:hint="eastAsia" w:ascii="宋体" w:hAnsi="宋体"/>
          <w:color w:val="auto"/>
          <w:sz w:val="24"/>
          <w:highlight w:val="none"/>
        </w:rPr>
        <w:t>应自行承担所有与参加投标有关的费用，无论投标过程中的做法和结果如何，</w:t>
      </w:r>
      <w:r>
        <w:rPr>
          <w:rFonts w:hint="eastAsia" w:ascii="宋体" w:hAnsi="宋体"/>
          <w:color w:val="auto"/>
          <w:sz w:val="24"/>
          <w:highlight w:val="none"/>
          <w:lang w:eastAsia="zh-CN"/>
        </w:rPr>
        <w:t>江苏伟之达项目管理咨询有限公司</w:t>
      </w:r>
      <w:r>
        <w:rPr>
          <w:rFonts w:hint="eastAsia" w:ascii="宋体" w:hAnsi="宋体"/>
          <w:color w:val="auto"/>
          <w:sz w:val="24"/>
          <w:highlight w:val="none"/>
        </w:rPr>
        <w:t>（以下简称采购代理机构）及</w:t>
      </w:r>
      <w:r>
        <w:rPr>
          <w:rFonts w:hint="eastAsia" w:ascii="宋体" w:hAnsi="宋体"/>
          <w:color w:val="auto"/>
          <w:sz w:val="24"/>
          <w:highlight w:val="none"/>
          <w:lang w:eastAsia="zh-CN"/>
        </w:rPr>
        <w:t>连云港生物工程中等专业学校</w:t>
      </w:r>
      <w:r>
        <w:rPr>
          <w:rFonts w:hint="eastAsia" w:ascii="宋体" w:hAnsi="宋体"/>
          <w:color w:val="auto"/>
          <w:sz w:val="24"/>
          <w:highlight w:val="none"/>
        </w:rPr>
        <w:t>（以下简称采购人）在任何情况下均无义务和责任承担这些费用。</w:t>
      </w:r>
    </w:p>
    <w:p w14:paraId="2A3A8FD1">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4.2 本次招标采</w:t>
      </w:r>
      <w:r>
        <w:rPr>
          <w:rFonts w:hint="eastAsia" w:ascii="宋体" w:hAnsi="宋体" w:eastAsia="宋体" w:cs="Times New Roman"/>
          <w:color w:val="auto"/>
          <w:sz w:val="24"/>
          <w:highlight w:val="none"/>
        </w:rPr>
        <w:t>购代理服务费：按照苏</w:t>
      </w:r>
      <w:r>
        <w:rPr>
          <w:rFonts w:hint="eastAsia" w:ascii="宋体" w:hAnsi="宋体" w:eastAsia="宋体" w:cs="Times New Roman"/>
          <w:color w:val="auto"/>
          <w:sz w:val="24"/>
          <w:highlight w:val="none"/>
          <w:lang w:val="en-US" w:eastAsia="zh-CN"/>
        </w:rPr>
        <w:t>政采协</w:t>
      </w:r>
      <w:r>
        <w:rPr>
          <w:rFonts w:hint="eastAsia" w:ascii="宋体" w:hAnsi="宋体" w:eastAsia="宋体" w:cs="Times New Roman"/>
          <w:color w:val="auto"/>
          <w:sz w:val="24"/>
          <w:highlight w:val="none"/>
          <w:lang w:eastAsia="zh-CN"/>
        </w:rPr>
        <w:t>〔202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20</w:t>
      </w:r>
      <w:r>
        <w:rPr>
          <w:rFonts w:hint="eastAsia" w:ascii="宋体" w:hAnsi="宋体" w:eastAsia="宋体" w:cs="Times New Roman"/>
          <w:color w:val="auto"/>
          <w:sz w:val="24"/>
          <w:highlight w:val="none"/>
          <w:lang w:eastAsia="zh-CN"/>
        </w:rPr>
        <w:t>号</w:t>
      </w:r>
      <w:r>
        <w:rPr>
          <w:rFonts w:hint="eastAsia" w:ascii="宋体" w:hAnsi="宋体" w:eastAsia="宋体" w:cs="Times New Roman"/>
          <w:color w:val="auto"/>
          <w:sz w:val="24"/>
          <w:highlight w:val="none"/>
        </w:rPr>
        <w:t>规定（服务）标准</w:t>
      </w:r>
      <w:r>
        <w:rPr>
          <w:rFonts w:hint="eastAsia" w:ascii="宋体" w:hAnsi="宋体" w:eastAsia="宋体" w:cs="Times New Roman"/>
          <w:color w:val="auto"/>
          <w:sz w:val="24"/>
          <w:highlight w:val="none"/>
          <w:lang w:val="en-US" w:eastAsia="zh-CN"/>
        </w:rPr>
        <w:t>的80%</w:t>
      </w:r>
      <w:r>
        <w:rPr>
          <w:rFonts w:hint="eastAsia" w:ascii="宋体" w:hAnsi="宋体" w:eastAsia="宋体" w:cs="Times New Roman"/>
          <w:color w:val="auto"/>
          <w:sz w:val="24"/>
          <w:highlight w:val="none"/>
        </w:rPr>
        <w:t>收取；以上费用最终由中标人</w:t>
      </w:r>
      <w:r>
        <w:rPr>
          <w:rFonts w:hint="eastAsia" w:ascii="宋体" w:hAnsi="宋体"/>
          <w:color w:val="auto"/>
          <w:sz w:val="24"/>
          <w:highlight w:val="none"/>
        </w:rPr>
        <w:t>在领取中标通知书时一次性支付，</w:t>
      </w:r>
      <w:r>
        <w:rPr>
          <w:rFonts w:hint="eastAsia" w:ascii="宋体" w:hAnsi="宋体"/>
          <w:color w:val="auto"/>
          <w:sz w:val="24"/>
          <w:highlight w:val="none"/>
          <w:lang w:eastAsia="zh-CN"/>
        </w:rPr>
        <w:t>供应商</w:t>
      </w:r>
      <w:r>
        <w:rPr>
          <w:rFonts w:hint="eastAsia" w:ascii="宋体" w:hAnsi="宋体"/>
          <w:color w:val="auto"/>
          <w:sz w:val="24"/>
          <w:highlight w:val="none"/>
        </w:rPr>
        <w:t>须将此部分费用综合考虑在报价中，不得单列。</w:t>
      </w:r>
    </w:p>
    <w:p w14:paraId="29EF41BC">
      <w:pPr>
        <w:pStyle w:val="189"/>
        <w:pageBreakBefore w:val="0"/>
        <w:widowControl w:val="0"/>
        <w:spacing w:before="0" w:after="0" w:line="56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3FFC0FFB">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lang w:eastAsia="zh-CN"/>
        </w:rPr>
        <w:t>供应商</w:t>
      </w:r>
      <w:r>
        <w:rPr>
          <w:rFonts w:hint="eastAsia" w:ascii="宋体" w:hAnsi="宋体"/>
          <w:color w:val="auto"/>
          <w:sz w:val="24"/>
          <w:highlight w:val="none"/>
        </w:rPr>
        <w:t>一旦参加本项目采购活动，即被认为接受了本招标文件的规定和约束。</w:t>
      </w:r>
    </w:p>
    <w:p w14:paraId="71FACA89">
      <w:pPr>
        <w:pStyle w:val="187"/>
        <w:pageBreakBefore w:val="0"/>
        <w:widowControl w:val="0"/>
        <w:spacing w:before="145" w:after="145" w:line="560" w:lineRule="exact"/>
        <w:ind w:firstLine="321"/>
        <w:rPr>
          <w:rFonts w:hint="eastAsia"/>
          <w:color w:val="auto"/>
          <w:highlight w:val="none"/>
        </w:rPr>
      </w:pPr>
      <w:bookmarkStart w:id="92" w:name="_Toc13550"/>
      <w:bookmarkStart w:id="93" w:name="_Toc2081"/>
      <w:bookmarkStart w:id="94" w:name="_Toc120614215"/>
      <w:bookmarkStart w:id="95" w:name="_Toc513029209"/>
      <w:bookmarkStart w:id="96" w:name="_Toc20823281"/>
      <w:bookmarkStart w:id="97" w:name="_Toc16938525"/>
      <w:r>
        <w:rPr>
          <w:rFonts w:hint="eastAsia"/>
          <w:color w:val="auto"/>
          <w:highlight w:val="none"/>
        </w:rPr>
        <w:t>二、招标文件</w:t>
      </w:r>
      <w:bookmarkEnd w:id="92"/>
      <w:bookmarkEnd w:id="93"/>
      <w:bookmarkEnd w:id="94"/>
      <w:bookmarkEnd w:id="95"/>
      <w:bookmarkEnd w:id="96"/>
      <w:bookmarkEnd w:id="97"/>
    </w:p>
    <w:p w14:paraId="0B78A16E">
      <w:pPr>
        <w:pStyle w:val="189"/>
        <w:pageBreakBefore w:val="0"/>
        <w:widowControl w:val="0"/>
        <w:spacing w:before="0" w:after="0" w:line="560" w:lineRule="exact"/>
        <w:ind w:firstLine="420"/>
        <w:rPr>
          <w:rFonts w:hint="eastAsia"/>
          <w:b w:val="0"/>
          <w:bCs w:val="0"/>
          <w:color w:val="auto"/>
          <w:highlight w:val="none"/>
        </w:rPr>
      </w:pPr>
      <w:bookmarkStart w:id="98" w:name="_Toc513029210"/>
      <w:bookmarkStart w:id="99" w:name="_Toc20823282"/>
      <w:bookmarkStart w:id="100" w:name="_Toc16938526"/>
      <w:r>
        <w:rPr>
          <w:rFonts w:hint="eastAsia"/>
          <w:b w:val="0"/>
          <w:bCs w:val="0"/>
          <w:color w:val="auto"/>
          <w:highlight w:val="none"/>
        </w:rPr>
        <w:t>6、招标文件构成</w:t>
      </w:r>
      <w:bookmarkEnd w:id="98"/>
      <w:bookmarkEnd w:id="99"/>
      <w:bookmarkEnd w:id="100"/>
    </w:p>
    <w:p w14:paraId="46FE90B1">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6.1 招标文件由以下部分组成：</w:t>
      </w:r>
    </w:p>
    <w:p w14:paraId="2025C0B9">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（1）投标邀请</w:t>
      </w:r>
    </w:p>
    <w:p w14:paraId="14952ABD">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供应商</w:t>
      </w:r>
      <w:r>
        <w:rPr>
          <w:rFonts w:hint="eastAsia" w:ascii="宋体" w:hAnsi="宋体"/>
          <w:color w:val="auto"/>
          <w:sz w:val="24"/>
          <w:highlight w:val="none"/>
        </w:rPr>
        <w:t>须知</w:t>
      </w:r>
    </w:p>
    <w:p w14:paraId="4C1800B3">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（3）合同文本</w:t>
      </w:r>
    </w:p>
    <w:p w14:paraId="44416172">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（4）采购需求</w:t>
      </w:r>
    </w:p>
    <w:p w14:paraId="102D29CD">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（5）评标方法与评标标准</w:t>
      </w:r>
    </w:p>
    <w:p w14:paraId="6E5EFFA9">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（6）投标文件格式</w:t>
      </w:r>
    </w:p>
    <w:p w14:paraId="21403B26">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请仔细检查招标文件是否齐全，如有缺漏请立即与采购代理机构联系解决。</w:t>
      </w:r>
    </w:p>
    <w:p w14:paraId="21C0CA36">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 xml:space="preserve">6.2 </w:t>
      </w:r>
      <w:r>
        <w:rPr>
          <w:rFonts w:hint="eastAsia" w:ascii="宋体" w:hAnsi="宋体"/>
          <w:color w:val="auto"/>
          <w:sz w:val="24"/>
          <w:highlight w:val="none"/>
          <w:lang w:eastAsia="zh-CN"/>
        </w:rPr>
        <w:t>供应商</w:t>
      </w:r>
      <w:r>
        <w:rPr>
          <w:rFonts w:hint="eastAsia" w:ascii="宋体" w:hAnsi="宋体"/>
          <w:color w:val="auto"/>
          <w:sz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供应商</w:t>
      </w:r>
      <w:r>
        <w:rPr>
          <w:rFonts w:hint="eastAsia" w:ascii="宋体" w:hAnsi="宋体"/>
          <w:color w:val="auto"/>
          <w:sz w:val="24"/>
          <w:highlight w:val="none"/>
        </w:rPr>
        <w:t>自行承担。</w:t>
      </w:r>
    </w:p>
    <w:p w14:paraId="1BBE4908">
      <w:pPr>
        <w:pStyle w:val="189"/>
        <w:pageBreakBefore w:val="0"/>
        <w:widowControl w:val="0"/>
        <w:spacing w:before="0" w:after="0" w:line="560" w:lineRule="exact"/>
        <w:ind w:firstLine="560"/>
        <w:rPr>
          <w:rFonts w:hint="eastAsia"/>
          <w:b w:val="0"/>
          <w:bCs w:val="0"/>
          <w:color w:val="auto"/>
          <w:highlight w:val="none"/>
        </w:rPr>
      </w:pPr>
      <w:bookmarkStart w:id="101" w:name="_Toc513029211"/>
      <w:bookmarkStart w:id="102" w:name="_Toc462564070"/>
      <w:bookmarkStart w:id="103" w:name="_Toc20823283"/>
      <w:bookmarkStart w:id="104" w:name="_Toc16938527"/>
      <w:r>
        <w:rPr>
          <w:rFonts w:hint="eastAsia"/>
          <w:b w:val="0"/>
          <w:bCs w:val="0"/>
          <w:color w:val="auto"/>
          <w:highlight w:val="none"/>
        </w:rPr>
        <w:t>7、招标文件的澄清</w:t>
      </w:r>
      <w:bookmarkEnd w:id="101"/>
      <w:bookmarkEnd w:id="102"/>
      <w:bookmarkEnd w:id="103"/>
      <w:bookmarkEnd w:id="104"/>
    </w:p>
    <w:p w14:paraId="2E467E10">
      <w:pPr>
        <w:pageBreakBefore w:val="0"/>
        <w:widowControl w:val="0"/>
        <w:spacing w:line="560" w:lineRule="exact"/>
        <w:ind w:firstLine="480"/>
        <w:rPr>
          <w:rFonts w:hint="eastAsia" w:ascii="宋体" w:hAnsi="宋体"/>
          <w:color w:val="auto"/>
          <w:sz w:val="24"/>
          <w:szCs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任何要求对招标文件进行澄清的</w:t>
      </w:r>
      <w:r>
        <w:rPr>
          <w:rFonts w:hint="eastAsia" w:ascii="宋体" w:hAnsi="宋体"/>
          <w:color w:val="auto"/>
          <w:sz w:val="24"/>
          <w:highlight w:val="none"/>
          <w:lang w:eastAsia="zh-CN"/>
        </w:rPr>
        <w:t>供应商</w:t>
      </w:r>
      <w:r>
        <w:rPr>
          <w:rFonts w:hint="eastAsia" w:ascii="宋体" w:hAnsi="宋体"/>
          <w:color w:val="auto"/>
          <w:sz w:val="24"/>
          <w:highlight w:val="none"/>
        </w:rPr>
        <w:t>，应在投标截止期</w:t>
      </w:r>
      <w:r>
        <w:rPr>
          <w:rFonts w:hint="eastAsia" w:ascii="仿宋_GB2312" w:hAnsi="仿宋_GB2312"/>
          <w:b/>
          <w:color w:val="auto"/>
          <w:sz w:val="24"/>
          <w:szCs w:val="24"/>
          <w:highlight w:val="none"/>
        </w:rPr>
        <w:t>十日</w:t>
      </w:r>
      <w:r>
        <w:rPr>
          <w:rFonts w:hint="eastAsia" w:ascii="仿宋_GB2312" w:hAnsi="仿宋_GB2312"/>
          <w:color w:val="auto"/>
          <w:sz w:val="24"/>
          <w:szCs w:val="24"/>
          <w:highlight w:val="none"/>
        </w:rPr>
        <w:t>前</w:t>
      </w:r>
      <w:r>
        <w:rPr>
          <w:rFonts w:hint="eastAsia" w:ascii="宋体" w:hAnsi="宋体"/>
          <w:color w:val="auto"/>
          <w:sz w:val="24"/>
          <w:highlight w:val="none"/>
        </w:rPr>
        <w:t>按招标公告中的通讯地址，以书面形式通知采购代理机构或采购人。</w:t>
      </w:r>
    </w:p>
    <w:p w14:paraId="383C2532">
      <w:pPr>
        <w:pStyle w:val="189"/>
        <w:pageBreakBefore w:val="0"/>
        <w:widowControl w:val="0"/>
        <w:spacing w:before="0" w:after="0" w:line="560" w:lineRule="exact"/>
        <w:ind w:firstLine="560"/>
        <w:rPr>
          <w:rFonts w:hint="eastAsia"/>
          <w:b w:val="0"/>
          <w:bCs w:val="0"/>
          <w:color w:val="auto"/>
          <w:highlight w:val="none"/>
        </w:rPr>
      </w:pPr>
      <w:bookmarkStart w:id="105" w:name="_Toc462564071"/>
      <w:bookmarkStart w:id="106" w:name="_Toc16938528"/>
      <w:bookmarkStart w:id="107" w:name="_Toc513029212"/>
      <w:bookmarkStart w:id="108" w:name="_Toc20823284"/>
      <w:r>
        <w:rPr>
          <w:rFonts w:hint="eastAsia"/>
          <w:b w:val="0"/>
          <w:bCs w:val="0"/>
          <w:color w:val="auto"/>
          <w:highlight w:val="none"/>
        </w:rPr>
        <w:t>8、招标文件的修改</w:t>
      </w:r>
      <w:bookmarkEnd w:id="105"/>
      <w:bookmarkEnd w:id="106"/>
      <w:bookmarkEnd w:id="107"/>
      <w:bookmarkEnd w:id="108"/>
    </w:p>
    <w:p w14:paraId="3AEA4FD8">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8.1 在投标截止时间前，采购人可以对招标文件进行修改。</w:t>
      </w:r>
    </w:p>
    <w:p w14:paraId="12027FAF">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8.2 采购人有权按照法定的要求推迟投标截止日期和开标日期。</w:t>
      </w:r>
    </w:p>
    <w:p w14:paraId="792D1272">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8.3 招标文件的修改将在江苏政府采购网公布，补充文件将作为招标文件的组成部分，并对</w:t>
      </w:r>
      <w:r>
        <w:rPr>
          <w:rFonts w:hint="eastAsia" w:ascii="宋体" w:hAnsi="宋体"/>
          <w:color w:val="auto"/>
          <w:sz w:val="24"/>
          <w:highlight w:val="none"/>
          <w:lang w:eastAsia="zh-CN"/>
        </w:rPr>
        <w:t>供应商</w:t>
      </w:r>
      <w:r>
        <w:rPr>
          <w:rFonts w:hint="eastAsia" w:ascii="宋体" w:hAnsi="宋体"/>
          <w:color w:val="auto"/>
          <w:sz w:val="24"/>
          <w:highlight w:val="none"/>
        </w:rPr>
        <w:t>具有约束力。</w:t>
      </w:r>
    </w:p>
    <w:p w14:paraId="6487F851">
      <w:pPr>
        <w:pStyle w:val="187"/>
        <w:pageBreakBefore w:val="0"/>
        <w:widowControl w:val="0"/>
        <w:spacing w:before="145" w:after="145" w:line="560" w:lineRule="exact"/>
        <w:ind w:firstLine="482"/>
        <w:rPr>
          <w:rFonts w:hint="eastAsia"/>
          <w:color w:val="auto"/>
          <w:highlight w:val="none"/>
        </w:rPr>
      </w:pPr>
      <w:bookmarkStart w:id="109" w:name="_Toc18646"/>
      <w:bookmarkStart w:id="110" w:name="_Toc18017"/>
      <w:bookmarkStart w:id="111" w:name="_Toc16938529"/>
      <w:bookmarkStart w:id="112" w:name="_Toc462564072"/>
      <w:bookmarkStart w:id="113" w:name="_Toc513029213"/>
      <w:bookmarkStart w:id="114" w:name="_Toc20823285"/>
      <w:bookmarkStart w:id="115" w:name="_Toc120614216"/>
      <w:r>
        <w:rPr>
          <w:rFonts w:hint="eastAsia"/>
          <w:color w:val="auto"/>
          <w:highlight w:val="none"/>
        </w:rPr>
        <w:t>三、投标文件的编制</w:t>
      </w:r>
      <w:bookmarkEnd w:id="109"/>
      <w:bookmarkEnd w:id="110"/>
      <w:bookmarkEnd w:id="111"/>
      <w:bookmarkEnd w:id="112"/>
      <w:bookmarkEnd w:id="113"/>
      <w:bookmarkEnd w:id="114"/>
      <w:bookmarkEnd w:id="115"/>
    </w:p>
    <w:p w14:paraId="5EB4B612">
      <w:pPr>
        <w:pStyle w:val="189"/>
        <w:pageBreakBefore w:val="0"/>
        <w:widowControl w:val="0"/>
        <w:spacing w:before="0" w:after="0" w:line="560" w:lineRule="exact"/>
        <w:ind w:firstLine="560"/>
        <w:rPr>
          <w:rFonts w:hint="eastAsia"/>
          <w:bCs w:val="0"/>
          <w:color w:val="auto"/>
          <w:highlight w:val="none"/>
        </w:rPr>
      </w:pPr>
      <w:bookmarkStart w:id="116" w:name="_Toc462564073"/>
      <w:bookmarkStart w:id="117" w:name="_Toc16938530"/>
      <w:bookmarkStart w:id="118" w:name="_Toc513029214"/>
      <w:bookmarkStart w:id="119" w:name="_Toc20823286"/>
      <w:r>
        <w:rPr>
          <w:rFonts w:hint="eastAsia"/>
          <w:b w:val="0"/>
          <w:bCs w:val="0"/>
          <w:color w:val="auto"/>
          <w:highlight w:val="none"/>
        </w:rPr>
        <w:t>9、投标文件的语言及度量衡单位</w:t>
      </w:r>
      <w:bookmarkEnd w:id="116"/>
      <w:bookmarkEnd w:id="117"/>
      <w:bookmarkEnd w:id="118"/>
      <w:bookmarkEnd w:id="119"/>
    </w:p>
    <w:p w14:paraId="49B8E5D2">
      <w:pPr>
        <w:pageBreakBefore w:val="0"/>
        <w:widowControl w:val="0"/>
        <w:spacing w:line="56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w:t>
      </w:r>
      <w:r>
        <w:rPr>
          <w:rFonts w:hint="eastAsia" w:ascii="宋体" w:hAnsi="宋体"/>
          <w:color w:val="auto"/>
          <w:sz w:val="24"/>
          <w:highlight w:val="none"/>
          <w:lang w:eastAsia="zh-CN"/>
        </w:rPr>
        <w:t>供应商</w:t>
      </w:r>
      <w:r>
        <w:rPr>
          <w:rFonts w:hint="eastAsia" w:ascii="宋体" w:hAnsi="宋体"/>
          <w:color w:val="auto"/>
          <w:sz w:val="24"/>
          <w:highlight w:val="none"/>
        </w:rPr>
        <w:t>提交的投标文件以及</w:t>
      </w:r>
      <w:r>
        <w:rPr>
          <w:rFonts w:hint="eastAsia" w:ascii="宋体" w:hAnsi="宋体"/>
          <w:color w:val="auto"/>
          <w:sz w:val="24"/>
          <w:highlight w:val="none"/>
          <w:lang w:eastAsia="zh-CN"/>
        </w:rPr>
        <w:t>供应商</w:t>
      </w:r>
      <w:r>
        <w:rPr>
          <w:rFonts w:hint="eastAsia" w:ascii="宋体" w:hAnsi="宋体"/>
          <w:color w:val="auto"/>
          <w:sz w:val="24"/>
          <w:highlight w:val="none"/>
        </w:rPr>
        <w:t>与采购人、采购代理机构就有关投标的所有来往通知、函件和文件均应使用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10591AE5">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9.2 除技术性能另有规定外，投标文件所使用的度量衡单位，均须采用国家法定计量单位。</w:t>
      </w:r>
    </w:p>
    <w:p w14:paraId="6E094EA7">
      <w:pPr>
        <w:pStyle w:val="189"/>
        <w:pageBreakBefore w:val="0"/>
        <w:widowControl w:val="0"/>
        <w:spacing w:before="0" w:after="0" w:line="560" w:lineRule="exact"/>
        <w:ind w:firstLine="420"/>
        <w:rPr>
          <w:rFonts w:hint="eastAsia"/>
          <w:b w:val="0"/>
          <w:bCs w:val="0"/>
          <w:color w:val="auto"/>
          <w:highlight w:val="none"/>
        </w:rPr>
      </w:pPr>
      <w:bookmarkStart w:id="120" w:name="_Toc16938531"/>
      <w:bookmarkStart w:id="121" w:name="_Toc513029215"/>
      <w:bookmarkStart w:id="122" w:name="_Toc462564074"/>
      <w:bookmarkStart w:id="123" w:name="_Toc20823287"/>
      <w:r>
        <w:rPr>
          <w:rFonts w:hint="eastAsia"/>
          <w:b w:val="0"/>
          <w:bCs w:val="0"/>
          <w:color w:val="auto"/>
          <w:highlight w:val="none"/>
        </w:rPr>
        <w:t>10、投标文件构成</w:t>
      </w:r>
      <w:bookmarkEnd w:id="120"/>
      <w:bookmarkEnd w:id="121"/>
      <w:bookmarkEnd w:id="122"/>
      <w:bookmarkEnd w:id="123"/>
    </w:p>
    <w:p w14:paraId="53C2AF45">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 xml:space="preserve">10.1 </w:t>
      </w:r>
      <w:r>
        <w:rPr>
          <w:rFonts w:hint="eastAsia" w:ascii="宋体" w:hAnsi="宋体"/>
          <w:color w:val="auto"/>
          <w:sz w:val="24"/>
          <w:highlight w:val="none"/>
          <w:lang w:eastAsia="zh-CN"/>
        </w:rPr>
        <w:t>供应商</w:t>
      </w:r>
      <w:r>
        <w:rPr>
          <w:rFonts w:hint="eastAsia" w:ascii="宋体" w:hAnsi="宋体"/>
          <w:color w:val="auto"/>
          <w:sz w:val="24"/>
          <w:highlight w:val="none"/>
        </w:rPr>
        <w:t>编写的投标文件应包括资格证明文件、符合性证明文件、投标分项报价表、技术要求响应及偏离表、商务要求响应及偏离表、其他证明文件、投标函、开标一览表等部分。</w:t>
      </w:r>
    </w:p>
    <w:p w14:paraId="11A3901A">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如标书制作工具中格式和内容与“江苏政府采购网”发布的招标文件不一致，请以“江苏政府采购网”发布的招标文件为准。</w:t>
      </w:r>
    </w:p>
    <w:p w14:paraId="238EDBEA">
      <w:pPr>
        <w:pStyle w:val="189"/>
        <w:pageBreakBefore w:val="0"/>
        <w:widowControl w:val="0"/>
        <w:spacing w:before="0" w:after="0" w:line="560" w:lineRule="exact"/>
        <w:ind w:firstLine="420"/>
        <w:rPr>
          <w:rFonts w:hint="eastAsia"/>
          <w:b w:val="0"/>
          <w:bCs w:val="0"/>
          <w:color w:val="auto"/>
          <w:highlight w:val="none"/>
        </w:rPr>
      </w:pPr>
      <w:bookmarkStart w:id="124" w:name="_Hlt26668975"/>
      <w:bookmarkEnd w:id="124"/>
      <w:bookmarkStart w:id="125" w:name="_Hlt26954838"/>
      <w:bookmarkEnd w:id="125"/>
      <w:bookmarkStart w:id="126" w:name="_Hlt26670360"/>
      <w:bookmarkEnd w:id="126"/>
      <w:bookmarkStart w:id="127" w:name="_Toc14577357"/>
      <w:bookmarkStart w:id="128" w:name="_Toc513029219"/>
      <w:bookmarkStart w:id="129" w:name="_Toc49090509"/>
      <w:bookmarkStart w:id="130" w:name="_Toc49090507"/>
      <w:bookmarkStart w:id="131" w:name="_Toc14577354"/>
      <w:bookmarkStart w:id="132" w:name="_Toc513029216"/>
      <w:r>
        <w:rPr>
          <w:rFonts w:hint="eastAsia"/>
          <w:b w:val="0"/>
          <w:bCs w:val="0"/>
          <w:color w:val="auto"/>
          <w:highlight w:val="none"/>
        </w:rPr>
        <w:t>11、证明</w:t>
      </w:r>
      <w:r>
        <w:rPr>
          <w:rFonts w:hint="eastAsia"/>
          <w:b w:val="0"/>
          <w:bCs w:val="0"/>
          <w:color w:val="auto"/>
          <w:highlight w:val="none"/>
          <w:lang w:eastAsia="zh-CN"/>
        </w:rPr>
        <w:t>供应商</w:t>
      </w:r>
      <w:r>
        <w:rPr>
          <w:rFonts w:hint="eastAsia"/>
          <w:b w:val="0"/>
          <w:bCs w:val="0"/>
          <w:color w:val="auto"/>
          <w:highlight w:val="none"/>
        </w:rPr>
        <w:t>及投标标的符合招标文件规定的文件</w:t>
      </w:r>
      <w:bookmarkEnd w:id="127"/>
      <w:bookmarkEnd w:id="128"/>
      <w:bookmarkEnd w:id="129"/>
    </w:p>
    <w:bookmarkEnd w:id="130"/>
    <w:bookmarkEnd w:id="131"/>
    <w:bookmarkEnd w:id="132"/>
    <w:p w14:paraId="0C2F59A4">
      <w:pPr>
        <w:pageBreakBefore w:val="0"/>
        <w:widowControl w:val="0"/>
        <w:spacing w:line="560" w:lineRule="exact"/>
        <w:ind w:firstLine="480"/>
        <w:rPr>
          <w:rFonts w:hint="eastAsia" w:ascii="宋体" w:hAnsi="宋体"/>
          <w:color w:val="auto"/>
          <w:sz w:val="24"/>
          <w:highlight w:val="none"/>
        </w:rPr>
      </w:pPr>
      <w:bookmarkStart w:id="133" w:name="_Toc14577355"/>
      <w:bookmarkStart w:id="134" w:name="_Toc49090508"/>
      <w:r>
        <w:rPr>
          <w:rFonts w:hint="eastAsia" w:ascii="宋体" w:hAnsi="宋体"/>
          <w:color w:val="auto"/>
          <w:sz w:val="24"/>
          <w:highlight w:val="none"/>
        </w:rPr>
        <w:t xml:space="preserve">11.1 </w:t>
      </w:r>
      <w:r>
        <w:rPr>
          <w:rFonts w:hint="eastAsia" w:ascii="宋体" w:hAnsi="宋体"/>
          <w:color w:val="auto"/>
          <w:sz w:val="24"/>
          <w:highlight w:val="none"/>
          <w:lang w:eastAsia="zh-CN"/>
        </w:rPr>
        <w:t>供应商</w:t>
      </w:r>
      <w:r>
        <w:rPr>
          <w:rFonts w:hint="eastAsia" w:ascii="宋体" w:hAnsi="宋体"/>
          <w:color w:val="auto"/>
          <w:sz w:val="24"/>
          <w:highlight w:val="none"/>
        </w:rPr>
        <w:t>应按照法律、法规、规章和规范性文件以及招标文件要求提交证明文件，证明其及投标标的符合招标文件规定。</w:t>
      </w:r>
    </w:p>
    <w:p w14:paraId="5A602E64">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11.2招标文件对证明文件无明确形式要求的，证明文件可以以文字资料、图纸和数据等形式提交。</w:t>
      </w:r>
    </w:p>
    <w:p w14:paraId="13208B6D">
      <w:pPr>
        <w:pStyle w:val="189"/>
        <w:pageBreakBefore w:val="0"/>
        <w:widowControl w:val="0"/>
        <w:spacing w:before="0" w:after="0" w:line="560" w:lineRule="exact"/>
        <w:ind w:firstLine="420"/>
        <w:rPr>
          <w:rFonts w:hint="eastAsia"/>
          <w:b w:val="0"/>
          <w:bCs w:val="0"/>
          <w:color w:val="auto"/>
          <w:highlight w:val="none"/>
        </w:rPr>
      </w:pPr>
      <w:r>
        <w:rPr>
          <w:rFonts w:hint="eastAsia"/>
          <w:b w:val="0"/>
          <w:bCs w:val="0"/>
          <w:color w:val="auto"/>
          <w:highlight w:val="none"/>
        </w:rPr>
        <w:t>12、投标分项报价</w:t>
      </w:r>
      <w:bookmarkEnd w:id="133"/>
      <w:bookmarkStart w:id="135" w:name="_Hlt26670373"/>
      <w:bookmarkEnd w:id="135"/>
      <w:r>
        <w:rPr>
          <w:rFonts w:hint="eastAsia"/>
          <w:b w:val="0"/>
          <w:bCs w:val="0"/>
          <w:color w:val="auto"/>
          <w:highlight w:val="none"/>
        </w:rPr>
        <w:t>表</w:t>
      </w:r>
      <w:bookmarkEnd w:id="134"/>
    </w:p>
    <w:p w14:paraId="592A2F4F">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 xml:space="preserve">12.1 </w:t>
      </w:r>
      <w:r>
        <w:rPr>
          <w:rFonts w:hint="eastAsia" w:ascii="宋体" w:hAnsi="宋体"/>
          <w:color w:val="auto"/>
          <w:sz w:val="24"/>
          <w:highlight w:val="none"/>
          <w:lang w:eastAsia="zh-CN"/>
        </w:rPr>
        <w:t>供应商</w:t>
      </w:r>
      <w:r>
        <w:rPr>
          <w:rFonts w:hint="eastAsia" w:ascii="宋体" w:hAnsi="宋体"/>
          <w:color w:val="auto"/>
          <w:sz w:val="24"/>
          <w:highlight w:val="none"/>
        </w:rPr>
        <w:t>应按照招标文件规定格式填报投标分项报价表</w:t>
      </w:r>
      <w:bookmarkStart w:id="136" w:name="_Hlt26670399"/>
      <w:bookmarkEnd w:id="136"/>
      <w:r>
        <w:rPr>
          <w:rFonts w:hint="eastAsia" w:ascii="宋体" w:hAnsi="宋体"/>
          <w:color w:val="auto"/>
          <w:sz w:val="24"/>
          <w:highlight w:val="none"/>
        </w:rPr>
        <w:t>。</w:t>
      </w:r>
    </w:p>
    <w:p w14:paraId="74DBDD35">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12.2投标货币。投标文件中的单价和总价无特殊规定的采用人民币报价，以元为单位标注。招标文件中另有规定的按规定执行。</w:t>
      </w:r>
    </w:p>
    <w:p w14:paraId="124BA1A9">
      <w:pPr>
        <w:pStyle w:val="189"/>
        <w:pageBreakBefore w:val="0"/>
        <w:widowControl w:val="0"/>
        <w:spacing w:before="0" w:after="0" w:line="560" w:lineRule="exact"/>
        <w:ind w:firstLine="420"/>
        <w:rPr>
          <w:rFonts w:hint="eastAsia"/>
          <w:b w:val="0"/>
          <w:bCs w:val="0"/>
          <w:color w:val="auto"/>
          <w:highlight w:val="none"/>
        </w:rPr>
      </w:pPr>
      <w:bookmarkStart w:id="137" w:name="_Hlt26670482"/>
      <w:bookmarkEnd w:id="137"/>
      <w:bookmarkStart w:id="138" w:name="_Hlt26954731"/>
      <w:bookmarkEnd w:id="138"/>
      <w:bookmarkStart w:id="139" w:name="_Hlt26670486"/>
      <w:bookmarkEnd w:id="139"/>
      <w:bookmarkStart w:id="140" w:name="_Hlt26954844"/>
      <w:bookmarkEnd w:id="140"/>
      <w:bookmarkStart w:id="141" w:name="_Hlt26954846"/>
      <w:bookmarkEnd w:id="141"/>
      <w:bookmarkStart w:id="142" w:name="_Hlt26954848"/>
      <w:bookmarkEnd w:id="142"/>
      <w:bookmarkStart w:id="143" w:name="_Hlt26670425"/>
      <w:bookmarkEnd w:id="143"/>
      <w:bookmarkStart w:id="144" w:name="_Hlt26670403"/>
      <w:bookmarkEnd w:id="144"/>
      <w:bookmarkStart w:id="145" w:name="_Hlt26668983"/>
      <w:bookmarkEnd w:id="145"/>
      <w:bookmarkStart w:id="146" w:name="_Hlt26954842"/>
      <w:bookmarkEnd w:id="146"/>
      <w:r>
        <w:rPr>
          <w:rFonts w:hint="eastAsia"/>
          <w:b w:val="0"/>
          <w:bCs w:val="0"/>
          <w:color w:val="auto"/>
          <w:highlight w:val="none"/>
        </w:rPr>
        <w:t>13、技术要求响应及偏离表、商务要求响应及偏离表</w:t>
      </w:r>
    </w:p>
    <w:p w14:paraId="5B0A9CC0">
      <w:pPr>
        <w:pageBreakBefore w:val="0"/>
        <w:widowControl w:val="0"/>
        <w:spacing w:line="360" w:lineRule="auto"/>
        <w:ind w:left="0" w:right="0" w:firstLine="480"/>
        <w:rPr>
          <w:rFonts w:hint="eastAsia" w:ascii="宋体" w:hAnsi="Arial" w:cs="宋体"/>
          <w:color w:val="auto"/>
          <w:sz w:val="24"/>
          <w:szCs w:val="21"/>
          <w:highlight w:val="none"/>
          <w:lang w:val="zh-CN"/>
        </w:rPr>
      </w:pPr>
      <w:r>
        <w:rPr>
          <w:rFonts w:hint="eastAsia" w:ascii="宋体" w:hAnsi="宋体"/>
          <w:color w:val="auto"/>
          <w:sz w:val="24"/>
          <w:highlight w:val="none"/>
          <w:lang w:val="zh-CN"/>
        </w:rPr>
        <w:t>1</w:t>
      </w: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3</w:t>
      </w: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供应商需对招标文件中的技术要求与商务要求逐项作出响应或偏离，并说明原因。</w:t>
      </w:r>
    </w:p>
    <w:p w14:paraId="585AE527">
      <w:pPr>
        <w:pageBreakBefore w:val="0"/>
        <w:widowControl w:val="0"/>
        <w:spacing w:line="360" w:lineRule="auto"/>
        <w:ind w:left="0" w:right="0" w:firstLine="480"/>
        <w:rPr>
          <w:rFonts w:hint="eastAsia" w:ascii="宋体" w:hAnsi="Arial" w:cs="宋体"/>
          <w:color w:val="auto"/>
          <w:sz w:val="24"/>
          <w:szCs w:val="21"/>
          <w:highlight w:val="none"/>
          <w:lang w:val="zh-CN" w:eastAsia="zh-CN"/>
        </w:rPr>
      </w:pPr>
      <w:r>
        <w:rPr>
          <w:rFonts w:hint="eastAsia" w:ascii="宋体" w:hAnsi="Arial" w:cs="宋体"/>
          <w:color w:val="auto"/>
          <w:sz w:val="24"/>
          <w:szCs w:val="21"/>
          <w:highlight w:val="none"/>
          <w:lang w:val="zh-CN" w:eastAsia="zh-CN"/>
        </w:rPr>
        <w:t>13.2 供应商需根据招标文件第四章采购需求的要求提供相关证明材料。</w:t>
      </w:r>
    </w:p>
    <w:p w14:paraId="71E4A4BF">
      <w:pPr>
        <w:pageBreakBefore w:val="0"/>
        <w:widowControl w:val="0"/>
        <w:spacing w:line="360" w:lineRule="auto"/>
        <w:ind w:left="0" w:right="0" w:firstLine="480"/>
        <w:rPr>
          <w:rFonts w:hint="eastAsia" w:ascii="宋体" w:hAnsi="宋体"/>
          <w:color w:val="auto"/>
          <w:sz w:val="24"/>
          <w:highlight w:val="none"/>
          <w:lang w:val="zh-CN"/>
        </w:rPr>
      </w:pPr>
      <w:r>
        <w:rPr>
          <w:rFonts w:hint="eastAsia" w:ascii="宋体" w:hAnsi="Arial" w:cs="宋体"/>
          <w:color w:val="auto"/>
          <w:sz w:val="24"/>
          <w:szCs w:val="21"/>
          <w:highlight w:val="none"/>
          <w:lang w:val="zh-CN"/>
        </w:rPr>
        <w:t>13.</w:t>
      </w:r>
      <w:r>
        <w:rPr>
          <w:rFonts w:hint="eastAsia" w:ascii="宋体" w:hAnsi="Arial" w:cs="宋体"/>
          <w:color w:val="auto"/>
          <w:sz w:val="24"/>
          <w:szCs w:val="21"/>
          <w:highlight w:val="none"/>
          <w:lang w:val="zh-CN" w:eastAsia="zh-CN"/>
        </w:rPr>
        <w:t>3</w:t>
      </w:r>
      <w:r>
        <w:rPr>
          <w:rFonts w:hint="eastAsia" w:ascii="宋体" w:hAnsi="Arial" w:cs="宋体"/>
          <w:color w:val="auto"/>
          <w:sz w:val="24"/>
          <w:szCs w:val="21"/>
          <w:highlight w:val="none"/>
          <w:lang w:val="zh-CN"/>
        </w:rPr>
        <w:t xml:space="preserve"> 供应商可在投标文件中提供认为需要的其他技术文件或说明。</w:t>
      </w:r>
    </w:p>
    <w:p w14:paraId="6E6DB1DB">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47" w:name="_Toc120614221"/>
      <w:bookmarkStart w:id="148" w:name="_Toc513029242"/>
      <w:bookmarkStart w:id="149" w:name="_Toc20823314"/>
      <w:bookmarkStart w:id="150" w:name="_Toc16938558"/>
      <w:bookmarkStart w:id="151" w:name="_Toc479757207"/>
      <w:r>
        <w:rPr>
          <w:rFonts w:hint="eastAsia" w:ascii="Arial" w:hAnsi="Arial" w:eastAsia="黑体" w:cs="Arial"/>
          <w:color w:val="auto"/>
          <w:sz w:val="28"/>
          <w:szCs w:val="28"/>
          <w:highlight w:val="none"/>
        </w:rPr>
        <w:t>14、服务承诺、培训计划、人员安排及其他</w:t>
      </w:r>
    </w:p>
    <w:p w14:paraId="724B5BAB">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需根据招标文件要求提供有关售后服务的管理制度，售后服务机构的分布情况，售后服务人员的数量、素质、技术水平及售后服务的反应能力等。</w:t>
      </w:r>
    </w:p>
    <w:p w14:paraId="6E60C642">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 xml:space="preserve">14.2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需根据招标文件要求提供培训计划。</w:t>
      </w:r>
    </w:p>
    <w:p w14:paraId="02B95877">
      <w:pPr>
        <w:pageBreakBefore w:val="0"/>
        <w:widowControl w:val="0"/>
        <w:spacing w:line="360" w:lineRule="auto"/>
        <w:ind w:left="0" w:right="0" w:firstLine="480"/>
        <w:rPr>
          <w:rFonts w:hint="eastAsia" w:ascii="宋体" w:hAnsi="Arial" w:cs="宋体"/>
          <w:color w:val="auto"/>
          <w:sz w:val="24"/>
          <w:szCs w:val="21"/>
          <w:highlight w:val="none"/>
          <w:lang w:val="zh-CN"/>
        </w:rPr>
      </w:pPr>
      <w:r>
        <w:rPr>
          <w:rFonts w:hint="eastAsia" w:ascii="宋体" w:hAnsi="宋体"/>
          <w:color w:val="auto"/>
          <w:sz w:val="24"/>
          <w:szCs w:val="24"/>
          <w:highlight w:val="none"/>
        </w:rPr>
        <w:t xml:space="preserve">14.3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需根据招标文件要求提供</w:t>
      </w:r>
      <w:r>
        <w:rPr>
          <w:rFonts w:hint="eastAsia" w:ascii="宋体" w:hAnsi="Arial" w:cs="宋体"/>
          <w:color w:val="auto"/>
          <w:sz w:val="24"/>
          <w:szCs w:val="21"/>
          <w:highlight w:val="none"/>
          <w:lang w:val="zh-CN"/>
        </w:rPr>
        <w:t>所投标的主要组成部分、功能设计、实现思路及关键技术等。</w:t>
      </w:r>
    </w:p>
    <w:p w14:paraId="08CB9BF7">
      <w:pPr>
        <w:pageBreakBefore w:val="0"/>
        <w:widowControl w:val="0"/>
        <w:spacing w:line="360" w:lineRule="auto"/>
        <w:ind w:left="0" w:right="0" w:firstLine="480"/>
        <w:rPr>
          <w:color w:val="auto"/>
          <w:highlight w:val="none"/>
          <w:lang w:val="en-US" w:eastAsia="zh-CN"/>
        </w:rPr>
      </w:pPr>
      <w:r>
        <w:rPr>
          <w:rFonts w:hint="eastAsia" w:ascii="宋体" w:hAnsi="Arial" w:cs="宋体"/>
          <w:color w:val="auto"/>
          <w:sz w:val="24"/>
          <w:szCs w:val="21"/>
          <w:highlight w:val="none"/>
          <w:lang w:val="en-US" w:eastAsia="zh-CN"/>
        </w:rPr>
        <w:t>14.4 供应商需根据招标文件要求提供实施方案、质保承诺等。</w:t>
      </w:r>
    </w:p>
    <w:p w14:paraId="030B5561">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52" w:name="_Toc14577359"/>
      <w:bookmarkStart w:id="153" w:name="_Toc49090510"/>
      <w:r>
        <w:rPr>
          <w:rFonts w:hint="eastAsia" w:ascii="Arial" w:hAnsi="Arial" w:eastAsia="黑体" w:cs="Arial"/>
          <w:color w:val="auto"/>
          <w:sz w:val="28"/>
          <w:szCs w:val="28"/>
          <w:highlight w:val="none"/>
        </w:rPr>
        <w:t>15、投标函和开标一览表</w:t>
      </w:r>
    </w:p>
    <w:p w14:paraId="7C65A226">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 xml:space="preserve"> </w:t>
      </w:r>
      <w:r>
        <w:rPr>
          <w:rFonts w:hint="eastAsia" w:ascii="宋体" w:hAnsi="宋体"/>
          <w:color w:val="auto"/>
          <w:sz w:val="24"/>
          <w:szCs w:val="21"/>
          <w:highlight w:val="none"/>
          <w:lang w:eastAsia="zh-CN"/>
        </w:rPr>
        <w:t>供应商</w:t>
      </w:r>
      <w:r>
        <w:rPr>
          <w:rFonts w:hint="eastAsia" w:ascii="宋体" w:hAnsi="宋体"/>
          <w:color w:val="auto"/>
          <w:sz w:val="24"/>
          <w:szCs w:val="21"/>
          <w:highlight w:val="none"/>
        </w:rPr>
        <w:t>应按照招标文件中提供的格式完整、正确填写投标函、开标一览表。</w:t>
      </w:r>
    </w:p>
    <w:p w14:paraId="4ED91797">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color w:val="auto"/>
          <w:sz w:val="24"/>
          <w:szCs w:val="21"/>
          <w:highlight w:val="none"/>
        </w:rPr>
        <w:t>15.2 对于采用货币报价的项目，开标一览表中的投标总报价应与投标分项报价表中的投标总报价一致，如不一致，不作为无效投标处理，但评标时按开标一览表中价格为准。</w:t>
      </w:r>
    </w:p>
    <w:bookmarkEnd w:id="152"/>
    <w:bookmarkEnd w:id="153"/>
    <w:p w14:paraId="6E946478">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54" w:name="_Toc14577360"/>
      <w:bookmarkStart w:id="155" w:name="_Toc49090511"/>
      <w:r>
        <w:rPr>
          <w:rFonts w:hint="eastAsia" w:ascii="Arial" w:hAnsi="Arial" w:eastAsia="黑体" w:cs="Arial"/>
          <w:color w:val="auto"/>
          <w:sz w:val="28"/>
          <w:szCs w:val="28"/>
          <w:highlight w:val="none"/>
        </w:rPr>
        <w:t>16、投标有效期</w:t>
      </w:r>
      <w:bookmarkEnd w:id="154"/>
      <w:bookmarkEnd w:id="155"/>
    </w:p>
    <w:p w14:paraId="7DD9ABD0">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16.1投标有效期为采购</w:t>
      </w:r>
      <w:r>
        <w:rPr>
          <w:rFonts w:hint="eastAsia" w:ascii="宋体" w:hAnsi="宋体"/>
          <w:bCs/>
          <w:color w:val="auto"/>
          <w:sz w:val="24"/>
          <w:szCs w:val="21"/>
          <w:highlight w:val="none"/>
          <w:lang w:val="en-US" w:eastAsia="zh-CN"/>
        </w:rPr>
        <w:t>人</w:t>
      </w:r>
      <w:r>
        <w:rPr>
          <w:rFonts w:hint="eastAsia" w:ascii="宋体" w:hAnsi="宋体"/>
          <w:bCs/>
          <w:color w:val="auto"/>
          <w:sz w:val="24"/>
          <w:szCs w:val="21"/>
          <w:highlight w:val="none"/>
        </w:rPr>
        <w:t>规定的开标之日后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。投标有效期比规定短的将被视为未实质性响应招标文件而予以拒绝。</w:t>
      </w:r>
    </w:p>
    <w:p w14:paraId="49639F01">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7</w:t>
      </w:r>
      <w:r>
        <w:rPr>
          <w:rFonts w:hint="eastAsia" w:ascii="Arial" w:hAnsi="Arial" w:eastAsia="黑体" w:cs="Arial"/>
          <w:color w:val="auto"/>
          <w:sz w:val="28"/>
          <w:szCs w:val="28"/>
          <w:highlight w:val="none"/>
        </w:rPr>
        <w:t>、投标有效期的延长</w:t>
      </w:r>
    </w:p>
    <w:p w14:paraId="168D6F60">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17.1在特殊情况下，采购</w:t>
      </w:r>
      <w:r>
        <w:rPr>
          <w:rFonts w:hint="eastAsia" w:ascii="宋体" w:hAnsi="宋体"/>
          <w:bCs/>
          <w:color w:val="auto"/>
          <w:sz w:val="24"/>
          <w:szCs w:val="21"/>
          <w:highlight w:val="none"/>
          <w:lang w:val="en-US" w:eastAsia="zh-CN"/>
        </w:rPr>
        <w:t>人</w:t>
      </w:r>
      <w:r>
        <w:rPr>
          <w:rFonts w:hint="eastAsia" w:ascii="宋体" w:hAnsi="宋体"/>
          <w:bCs/>
          <w:color w:val="auto"/>
          <w:sz w:val="24"/>
          <w:szCs w:val="21"/>
          <w:highlight w:val="none"/>
        </w:rPr>
        <w:t>于原投标有效期满之前，可向</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提出延长投标有效期的要求。这种要求与答复均应采用书面形式。</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可以拒绝采购</w:t>
      </w:r>
      <w:r>
        <w:rPr>
          <w:rFonts w:hint="eastAsia" w:ascii="宋体" w:hAnsi="宋体"/>
          <w:bCs/>
          <w:color w:val="auto"/>
          <w:sz w:val="24"/>
          <w:szCs w:val="21"/>
          <w:highlight w:val="none"/>
          <w:lang w:val="en-US" w:eastAsia="zh-CN"/>
        </w:rPr>
        <w:t>人</w:t>
      </w:r>
      <w:r>
        <w:rPr>
          <w:rFonts w:hint="eastAsia" w:ascii="宋体" w:hAnsi="宋体"/>
          <w:bCs/>
          <w:color w:val="auto"/>
          <w:sz w:val="24"/>
          <w:szCs w:val="21"/>
          <w:highlight w:val="none"/>
        </w:rPr>
        <w:t>的这一要求而放弃投标，同意延长投标有效期的</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既不能要求也不允许修改其投标文件。</w:t>
      </w:r>
      <w:r>
        <w:rPr>
          <w:rFonts w:hint="eastAsia" w:ascii="宋体" w:hAnsi="宋体"/>
          <w:color w:val="auto"/>
          <w:sz w:val="24"/>
          <w:szCs w:val="24"/>
          <w:highlight w:val="none"/>
        </w:rPr>
        <w:t>受投标有效期约束的所有权利与义务均延长至新的有效期</w:t>
      </w:r>
      <w:r>
        <w:rPr>
          <w:rFonts w:hint="eastAsia" w:ascii="宋体" w:hAnsi="宋体"/>
          <w:bCs/>
          <w:color w:val="auto"/>
          <w:sz w:val="24"/>
          <w:szCs w:val="21"/>
          <w:highlight w:val="none"/>
        </w:rPr>
        <w:t>。</w:t>
      </w:r>
    </w:p>
    <w:p w14:paraId="15BF474C">
      <w:pPr>
        <w:keepNext/>
        <w:keepLines/>
        <w:pageBreakBefore w:val="0"/>
        <w:widowControl w:val="0"/>
        <w:spacing w:line="360" w:lineRule="auto"/>
        <w:ind w:left="0" w:right="0"/>
        <w:outlineLvl w:val="2"/>
        <w:rPr>
          <w:rFonts w:hint="eastAsia" w:ascii="Times New Roman" w:hAnsi="Times New Roman"/>
          <w:b/>
          <w:bCs/>
          <w:color w:val="auto"/>
          <w:sz w:val="32"/>
          <w:szCs w:val="32"/>
          <w:highlight w:val="none"/>
        </w:rPr>
      </w:pPr>
      <w:bookmarkStart w:id="156" w:name="_Hlt26954852"/>
      <w:bookmarkEnd w:id="156"/>
      <w:bookmarkStart w:id="157" w:name="_Hlt26954739"/>
      <w:bookmarkEnd w:id="157"/>
      <w:bookmarkStart w:id="158" w:name="_Toc20823296"/>
      <w:bookmarkStart w:id="159" w:name="_Toc12166"/>
      <w:bookmarkStart w:id="160" w:name="_Toc18316"/>
      <w:bookmarkStart w:id="161" w:name="_Toc9858"/>
      <w:bookmarkStart w:id="162" w:name="_Toc513029224"/>
      <w:bookmarkStart w:id="163" w:name="_Toc16938540"/>
      <w:bookmarkStart w:id="164" w:name="_Toc120614217"/>
      <w:bookmarkStart w:id="165" w:name="_Toc10826"/>
      <w:r>
        <w:rPr>
          <w:rFonts w:hint="eastAsia" w:ascii="Times New Roman" w:hAnsi="Times New Roman"/>
          <w:b/>
          <w:bCs/>
          <w:color w:val="auto"/>
          <w:sz w:val="32"/>
          <w:szCs w:val="32"/>
          <w:highlight w:val="none"/>
        </w:rPr>
        <w:t>四、投标文件的递交</w:t>
      </w:r>
      <w:bookmarkEnd w:id="158"/>
      <w:bookmarkEnd w:id="159"/>
      <w:bookmarkEnd w:id="160"/>
      <w:bookmarkEnd w:id="161"/>
      <w:bookmarkEnd w:id="162"/>
      <w:bookmarkEnd w:id="163"/>
      <w:bookmarkEnd w:id="164"/>
      <w:bookmarkEnd w:id="165"/>
    </w:p>
    <w:p w14:paraId="662C9F90">
      <w:pPr>
        <w:keepNext/>
        <w:keepLines/>
        <w:pageBreakBefore w:val="0"/>
        <w:widowControl w:val="0"/>
        <w:spacing w:line="360" w:lineRule="auto"/>
        <w:ind w:left="0" w:right="0" w:firstLine="420"/>
        <w:outlineLvl w:val="3"/>
        <w:rPr>
          <w:rFonts w:hint="eastAsia" w:ascii="黑体" w:hAnsi="Arial" w:eastAsia="黑体" w:cs="Arial"/>
          <w:color w:val="auto"/>
          <w:sz w:val="28"/>
          <w:szCs w:val="28"/>
          <w:highlight w:val="none"/>
        </w:rPr>
      </w:pPr>
      <w:bookmarkStart w:id="166" w:name="_Toc16938541"/>
      <w:bookmarkStart w:id="167" w:name="_Toc20823297"/>
      <w:bookmarkStart w:id="168" w:name="_Toc462564084"/>
      <w:bookmarkStart w:id="169" w:name="_Toc513029225"/>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8</w:t>
      </w:r>
      <w:r>
        <w:rPr>
          <w:rFonts w:hint="eastAsia" w:ascii="Arial" w:hAnsi="Arial" w:eastAsia="黑体" w:cs="Arial"/>
          <w:color w:val="auto"/>
          <w:sz w:val="28"/>
          <w:szCs w:val="28"/>
          <w:highlight w:val="none"/>
        </w:rPr>
        <w:t>、电子</w:t>
      </w:r>
      <w:r>
        <w:rPr>
          <w:rFonts w:hint="eastAsia" w:ascii="黑体" w:hAnsi="Arial" w:eastAsia="黑体" w:cs="Arial"/>
          <w:color w:val="auto"/>
          <w:sz w:val="28"/>
          <w:szCs w:val="28"/>
          <w:highlight w:val="none"/>
        </w:rPr>
        <w:t>投标文件</w:t>
      </w:r>
      <w:bookmarkEnd w:id="166"/>
      <w:bookmarkEnd w:id="167"/>
      <w:bookmarkEnd w:id="168"/>
      <w:bookmarkEnd w:id="169"/>
      <w:r>
        <w:rPr>
          <w:rFonts w:hint="eastAsia" w:ascii="黑体" w:hAnsi="Arial" w:eastAsia="黑体" w:cs="Arial"/>
          <w:color w:val="auto"/>
          <w:sz w:val="28"/>
          <w:szCs w:val="28"/>
          <w:highlight w:val="none"/>
        </w:rPr>
        <w:t>的递交</w:t>
      </w:r>
    </w:p>
    <w:p w14:paraId="00DC0F17">
      <w:pPr>
        <w:keepNext w:val="0"/>
        <w:keepLines w:val="0"/>
        <w:pageBreakBefore w:val="0"/>
        <w:widowControl w:val="0"/>
        <w:spacing w:line="360" w:lineRule="auto"/>
        <w:ind w:left="0" w:right="0" w:firstLine="480"/>
        <w:jc w:val="left"/>
        <w:rPr>
          <w:rFonts w:hint="eastAsia" w:ascii="宋体" w:hAnsi="宋体"/>
          <w:bCs/>
          <w:color w:val="auto"/>
          <w:sz w:val="24"/>
          <w:szCs w:val="21"/>
          <w:highlight w:val="none"/>
        </w:rPr>
      </w:pPr>
      <w:r>
        <w:rPr>
          <w:rFonts w:hint="eastAsia" w:ascii="宋体" w:hAnsi="宋体"/>
          <w:bCs/>
          <w:color w:val="auto"/>
          <w:sz w:val="24"/>
          <w:szCs w:val="21"/>
          <w:highlight w:val="none"/>
        </w:rPr>
        <w:t>18.1</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应当按照《操作手册》规定，在投标截止时间前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并上传电子投标</w:t>
      </w:r>
    </w:p>
    <w:p w14:paraId="5DEBA040">
      <w:pPr>
        <w:keepNext w:val="0"/>
        <w:keepLines w:val="0"/>
        <w:pageBreakBefore w:val="0"/>
        <w:widowControl w:val="0"/>
        <w:spacing w:line="360" w:lineRule="auto"/>
        <w:ind w:right="0"/>
        <w:jc w:val="left"/>
        <w:rPr>
          <w:rFonts w:ascii="宋体" w:hAnsi="宋体"/>
          <w:bCs/>
          <w:color w:val="auto"/>
          <w:sz w:val="24"/>
          <w:szCs w:val="21"/>
          <w:highlight w:val="none"/>
        </w:rPr>
      </w:pPr>
      <w:r>
        <w:rPr>
          <w:rFonts w:hint="eastAsia" w:ascii="宋体" w:hAnsi="宋体"/>
          <w:bCs/>
          <w:color w:val="auto"/>
          <w:sz w:val="24"/>
          <w:szCs w:val="21"/>
          <w:highlight w:val="none"/>
        </w:rPr>
        <w:t>文件。</w:t>
      </w:r>
      <w:bookmarkStart w:id="170" w:name="_Toc20823298"/>
      <w:bookmarkStart w:id="171" w:name="_Toc16938542"/>
      <w:bookmarkStart w:id="172" w:name="_Toc513029226"/>
    </w:p>
    <w:p w14:paraId="754F4EAC">
      <w:pPr>
        <w:keepNext/>
        <w:keepLines/>
        <w:pageBreakBefore w:val="0"/>
        <w:widowControl w:val="0"/>
        <w:spacing w:line="360" w:lineRule="auto"/>
        <w:ind w:left="0" w:right="0" w:firstLine="420"/>
        <w:outlineLvl w:val="3"/>
        <w:rPr>
          <w:rFonts w:hint="eastAsia" w:ascii="宋体" w:hAnsi="宋体" w:eastAsia="黑体" w:cs="Arial"/>
          <w:bCs/>
          <w:color w:val="auto"/>
          <w:sz w:val="24"/>
          <w:szCs w:val="28"/>
          <w:highlight w:val="none"/>
        </w:rPr>
      </w:pPr>
      <w:r>
        <w:rPr>
          <w:rFonts w:ascii="Arial" w:hAnsi="Arial" w:eastAsia="黑体" w:cs="Arial"/>
          <w:bCs/>
          <w:color w:val="auto"/>
          <w:sz w:val="28"/>
          <w:szCs w:val="28"/>
          <w:highlight w:val="none"/>
        </w:rPr>
        <w:t>19</w:t>
      </w:r>
      <w:r>
        <w:rPr>
          <w:rFonts w:hint="eastAsia" w:ascii="Arial" w:hAnsi="Arial" w:eastAsia="黑体" w:cs="Arial"/>
          <w:bCs/>
          <w:color w:val="auto"/>
          <w:sz w:val="28"/>
          <w:szCs w:val="28"/>
          <w:highlight w:val="none"/>
        </w:rPr>
        <w:t>、投标截止日期</w:t>
      </w:r>
      <w:bookmarkEnd w:id="170"/>
      <w:bookmarkEnd w:id="171"/>
      <w:bookmarkEnd w:id="172"/>
    </w:p>
    <w:p w14:paraId="3F6FB424">
      <w:pPr>
        <w:pageBreakBefore w:val="0"/>
        <w:widowControl w:val="0"/>
        <w:spacing w:line="360" w:lineRule="auto"/>
        <w:ind w:left="0" w:right="0" w:firstLine="482"/>
        <w:rPr>
          <w:rFonts w:hint="eastAsia" w:ascii="宋体" w:hAnsi="宋体"/>
          <w:b/>
          <w:bCs/>
          <w:i w:val="0"/>
          <w:iCs/>
          <w:color w:val="auto"/>
          <w:sz w:val="24"/>
          <w:szCs w:val="21"/>
          <w:highlight w:val="none"/>
          <w:u w:val="single"/>
        </w:rPr>
      </w:pPr>
      <w:r>
        <w:rPr>
          <w:rFonts w:ascii="宋体" w:hAnsi="宋体"/>
          <w:b/>
          <w:bCs/>
          <w:i w:val="0"/>
          <w:iCs/>
          <w:color w:val="auto"/>
          <w:sz w:val="24"/>
          <w:szCs w:val="21"/>
          <w:highlight w:val="none"/>
          <w:u w:val="single"/>
        </w:rPr>
        <w:t>19</w:t>
      </w:r>
      <w:r>
        <w:rPr>
          <w:rFonts w:hint="eastAsia" w:ascii="宋体" w:hAnsi="宋体"/>
          <w:b/>
          <w:bCs/>
          <w:i w:val="0"/>
          <w:iCs/>
          <w:color w:val="auto"/>
          <w:sz w:val="24"/>
          <w:szCs w:val="21"/>
          <w:highlight w:val="none"/>
          <w:u w:val="single"/>
        </w:rPr>
        <w:t xml:space="preserve">.1 </w:t>
      </w:r>
      <w:r>
        <w:rPr>
          <w:rFonts w:hint="eastAsia" w:ascii="宋体" w:hAnsi="宋体"/>
          <w:b/>
          <w:bCs/>
          <w:i w:val="0"/>
          <w:iCs/>
          <w:color w:val="auto"/>
          <w:sz w:val="24"/>
          <w:szCs w:val="21"/>
          <w:highlight w:val="none"/>
          <w:u w:val="single"/>
          <w:lang w:eastAsia="zh-CN"/>
        </w:rPr>
        <w:t>供应商</w:t>
      </w:r>
      <w:r>
        <w:rPr>
          <w:rFonts w:hint="eastAsia" w:ascii="宋体" w:hAnsi="宋体"/>
          <w:b/>
          <w:bCs/>
          <w:i w:val="0"/>
          <w:iCs/>
          <w:color w:val="auto"/>
          <w:sz w:val="24"/>
          <w:szCs w:val="21"/>
          <w:highlight w:val="none"/>
          <w:u w:val="single"/>
        </w:rPr>
        <w:t>上传电子投标文件的时间不得迟于招标公告中规定的投标截止时间。</w:t>
      </w:r>
    </w:p>
    <w:p w14:paraId="515C5C16">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应</w:t>
      </w:r>
      <w:r>
        <w:rPr>
          <w:rFonts w:hint="eastAsia" w:ascii="宋体" w:hAnsi="宋体"/>
          <w:bCs/>
          <w:color w:val="auto"/>
          <w:sz w:val="24"/>
          <w:szCs w:val="21"/>
          <w:highlight w:val="none"/>
          <w:lang w:eastAsia="zh-CN"/>
        </w:rPr>
        <w:t>充分考虑</w:t>
      </w:r>
      <w:r>
        <w:rPr>
          <w:rFonts w:hint="eastAsia" w:ascii="宋体" w:hAnsi="宋体"/>
          <w:bCs/>
          <w:color w:val="auto"/>
          <w:sz w:val="24"/>
          <w:szCs w:val="21"/>
          <w:highlight w:val="none"/>
        </w:rPr>
        <w:t>网络环境、网络带宽等风险因素，如因</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自身原因造成的电子投标文件上传不成功的按照本招标文件第二章第27.1.2条规定做无效投标处理。</w:t>
      </w:r>
    </w:p>
    <w:p w14:paraId="5E7239B3">
      <w:pPr>
        <w:pageBreakBefore w:val="0"/>
        <w:widowControl w:val="0"/>
        <w:spacing w:line="360" w:lineRule="auto"/>
        <w:ind w:left="0" w:right="0" w:firstLine="480"/>
        <w:rPr>
          <w:rFonts w:hint="eastAsia"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 xml:space="preserve"> 采购</w:t>
      </w:r>
      <w:r>
        <w:rPr>
          <w:rFonts w:hint="eastAsia" w:ascii="宋体" w:hAnsi="宋体"/>
          <w:bCs/>
          <w:color w:val="auto"/>
          <w:sz w:val="24"/>
          <w:szCs w:val="21"/>
          <w:highlight w:val="none"/>
          <w:lang w:val="en-US" w:eastAsia="zh-CN"/>
        </w:rPr>
        <w:t>人</w:t>
      </w:r>
      <w:r>
        <w:rPr>
          <w:rFonts w:hint="eastAsia" w:ascii="宋体" w:hAnsi="宋体"/>
          <w:bCs/>
          <w:color w:val="auto"/>
          <w:sz w:val="24"/>
          <w:szCs w:val="21"/>
          <w:highlight w:val="none"/>
        </w:rPr>
        <w:t>可以按照规定，通过修改招标文件酌情延长投标截止日期，在此情况下，</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的所有权利和义务以及</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受制的截止日期均应以延长后新的截止日期为准。</w:t>
      </w:r>
    </w:p>
    <w:p w14:paraId="15895298">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73" w:name="_Toc513029227"/>
      <w:bookmarkStart w:id="174" w:name="_Toc20823299"/>
      <w:bookmarkStart w:id="175" w:name="_Toc16938543"/>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0</w:t>
      </w:r>
      <w:r>
        <w:rPr>
          <w:rFonts w:hint="eastAsia" w:ascii="Arial" w:hAnsi="Arial" w:eastAsia="黑体" w:cs="Arial"/>
          <w:color w:val="auto"/>
          <w:sz w:val="28"/>
          <w:szCs w:val="28"/>
          <w:highlight w:val="none"/>
        </w:rPr>
        <w:t>、投标文件</w:t>
      </w:r>
      <w:bookmarkEnd w:id="173"/>
      <w:bookmarkEnd w:id="174"/>
      <w:bookmarkEnd w:id="175"/>
      <w:r>
        <w:rPr>
          <w:rFonts w:hint="eastAsia" w:ascii="Arial" w:hAnsi="Arial" w:eastAsia="黑体" w:cs="Arial"/>
          <w:color w:val="auto"/>
          <w:sz w:val="28"/>
          <w:szCs w:val="28"/>
          <w:highlight w:val="none"/>
        </w:rPr>
        <w:t>的拒收</w:t>
      </w:r>
    </w:p>
    <w:p w14:paraId="40E49FC1">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20.1 采购</w:t>
      </w:r>
      <w:r>
        <w:rPr>
          <w:rFonts w:hint="eastAsia" w:ascii="宋体" w:hAnsi="宋体"/>
          <w:bCs/>
          <w:color w:val="auto"/>
          <w:sz w:val="24"/>
          <w:szCs w:val="21"/>
          <w:highlight w:val="none"/>
          <w:lang w:val="en-US" w:eastAsia="zh-CN"/>
        </w:rPr>
        <w:t>人或采购代理机构</w:t>
      </w:r>
      <w:r>
        <w:rPr>
          <w:rFonts w:hint="eastAsia" w:ascii="宋体" w:hAnsi="宋体"/>
          <w:bCs/>
          <w:color w:val="auto"/>
          <w:sz w:val="24"/>
          <w:szCs w:val="21"/>
          <w:highlight w:val="none"/>
        </w:rPr>
        <w:t>拒绝接收在其规定的投标截止时间后上传的任何投标文件。</w:t>
      </w:r>
    </w:p>
    <w:p w14:paraId="495A884A">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76" w:name="_Toc20823300"/>
      <w:bookmarkStart w:id="177" w:name="_Toc16938544"/>
      <w:bookmarkStart w:id="178" w:name="_Toc513029228"/>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1</w:t>
      </w:r>
      <w:r>
        <w:rPr>
          <w:rFonts w:hint="eastAsia" w:ascii="Arial" w:hAnsi="Arial" w:eastAsia="黑体" w:cs="Arial"/>
          <w:color w:val="auto"/>
          <w:sz w:val="28"/>
          <w:szCs w:val="28"/>
          <w:highlight w:val="none"/>
        </w:rPr>
        <w:t>、投标文件的撤回和修改</w:t>
      </w:r>
      <w:bookmarkEnd w:id="176"/>
      <w:bookmarkEnd w:id="177"/>
      <w:bookmarkEnd w:id="178"/>
    </w:p>
    <w:p w14:paraId="6E24E2DE">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 投标文件的撤回</w:t>
      </w:r>
    </w:p>
    <w:p w14:paraId="009DD9C8">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 电子投标文件的撤回</w:t>
      </w:r>
    </w:p>
    <w:p w14:paraId="2512BE88">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color w:val="auto"/>
          <w:sz w:val="24"/>
          <w:szCs w:val="21"/>
          <w:highlight w:val="none"/>
          <w:lang w:eastAsia="zh-CN"/>
        </w:rPr>
        <w:t>供应商</w:t>
      </w:r>
      <w:r>
        <w:rPr>
          <w:rFonts w:hint="eastAsia" w:ascii="宋体" w:hAnsi="宋体"/>
          <w:color w:val="auto"/>
          <w:sz w:val="24"/>
          <w:szCs w:val="21"/>
          <w:highlight w:val="none"/>
        </w:rPr>
        <w:t>可在投标截止时间前，撤回其电子投标文件，具体操作方法见《操作手册》。</w:t>
      </w:r>
    </w:p>
    <w:p w14:paraId="7FFB3244">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撤回电子投标文件，则认为其不再参与本项目投标活动。</w:t>
      </w:r>
    </w:p>
    <w:p w14:paraId="2D28321C">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 投标文件的修改</w:t>
      </w:r>
    </w:p>
    <w:p w14:paraId="5848B9C9">
      <w:pPr>
        <w:pageBreakBefore w:val="0"/>
        <w:widowControl w:val="0"/>
        <w:spacing w:line="360" w:lineRule="auto"/>
        <w:ind w:left="0" w:right="0" w:firstLine="480"/>
        <w:rPr>
          <w:rFonts w:hint="eastAsia" w:ascii="宋体" w:hAnsi="宋体"/>
          <w:color w:val="auto"/>
          <w:sz w:val="24"/>
          <w:szCs w:val="21"/>
          <w:highlight w:val="none"/>
        </w:rPr>
      </w:pPr>
      <w:r>
        <w:rPr>
          <w:rFonts w:hint="eastAsia" w:ascii="宋体" w:hAnsi="宋体"/>
          <w:color w:val="auto"/>
          <w:sz w:val="24"/>
          <w:szCs w:val="21"/>
          <w:highlight w:val="none"/>
        </w:rPr>
        <w:t>21.2.1</w:t>
      </w:r>
      <w:r>
        <w:rPr>
          <w:rFonts w:hint="eastAsia" w:ascii="宋体" w:hAnsi="宋体"/>
          <w:color w:val="auto"/>
          <w:sz w:val="24"/>
          <w:szCs w:val="21"/>
          <w:highlight w:val="none"/>
          <w:lang w:eastAsia="zh-CN"/>
        </w:rPr>
        <w:t>供应商</w:t>
      </w:r>
      <w:r>
        <w:rPr>
          <w:rFonts w:hint="eastAsia" w:ascii="宋体" w:hAnsi="宋体"/>
          <w:color w:val="auto"/>
          <w:sz w:val="24"/>
          <w:szCs w:val="21"/>
          <w:highlight w:val="none"/>
        </w:rPr>
        <w:t>可在投标截止时间前，对其电子投标文件进行修改，具体操作方法见《操作手册》。</w:t>
      </w:r>
    </w:p>
    <w:p w14:paraId="2B4F8EEC">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2.2</w:t>
      </w:r>
      <w:r>
        <w:rPr>
          <w:rFonts w:hint="eastAsia" w:ascii="宋体" w:hAnsi="宋体"/>
          <w:bCs/>
          <w:color w:val="auto"/>
          <w:sz w:val="24"/>
          <w:szCs w:val="21"/>
          <w:highlight w:val="none"/>
        </w:rPr>
        <w:t xml:space="preserve"> 在投标截止时间之后，</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不得对其电子投标文件作任何修改。</w:t>
      </w:r>
    </w:p>
    <w:p w14:paraId="3F627014">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 xml:space="preserve"> 在投标截止时间至招标文件中规定的投标有效期满之间的这段时间内，</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不得撤回其投标。</w:t>
      </w:r>
    </w:p>
    <w:p w14:paraId="637D5BEB">
      <w:pPr>
        <w:keepNext/>
        <w:keepLines/>
        <w:pageBreakBefore w:val="0"/>
        <w:widowControl w:val="0"/>
        <w:spacing w:line="360" w:lineRule="auto"/>
        <w:ind w:left="0" w:right="0" w:firstLine="482"/>
        <w:outlineLvl w:val="2"/>
        <w:rPr>
          <w:rFonts w:hint="eastAsia" w:ascii="Times New Roman" w:hAnsi="Times New Roman"/>
          <w:b/>
          <w:bCs/>
          <w:color w:val="auto"/>
          <w:sz w:val="32"/>
          <w:szCs w:val="32"/>
          <w:highlight w:val="none"/>
        </w:rPr>
      </w:pPr>
      <w:bookmarkStart w:id="179" w:name="_Toc16938545"/>
      <w:bookmarkStart w:id="180" w:name="_Toc6935"/>
      <w:bookmarkStart w:id="181" w:name="_Toc20823301"/>
      <w:bookmarkStart w:id="182" w:name="_Toc13257"/>
      <w:bookmarkStart w:id="183" w:name="_Toc245"/>
      <w:bookmarkStart w:id="184" w:name="_Toc2850"/>
      <w:bookmarkStart w:id="185" w:name="_Toc120614218"/>
      <w:bookmarkStart w:id="186" w:name="_Toc513029229"/>
      <w:r>
        <w:rPr>
          <w:rFonts w:hint="eastAsia" w:ascii="Times New Roman" w:hAnsi="Times New Roman"/>
          <w:b/>
          <w:bCs/>
          <w:color w:val="auto"/>
          <w:sz w:val="32"/>
          <w:szCs w:val="32"/>
          <w:highlight w:val="none"/>
        </w:rPr>
        <w:t>五、开标与评标</w:t>
      </w:r>
      <w:bookmarkEnd w:id="179"/>
      <w:bookmarkEnd w:id="180"/>
      <w:bookmarkEnd w:id="181"/>
      <w:bookmarkEnd w:id="182"/>
      <w:bookmarkEnd w:id="183"/>
      <w:bookmarkEnd w:id="184"/>
      <w:bookmarkEnd w:id="185"/>
      <w:bookmarkEnd w:id="186"/>
    </w:p>
    <w:p w14:paraId="77D7295B">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87" w:name="_Toc20823302"/>
      <w:bookmarkStart w:id="188" w:name="_Toc513029230"/>
      <w:bookmarkStart w:id="189" w:name="_Toc16938546"/>
      <w:r>
        <w:rPr>
          <w:rFonts w:hint="eastAsia" w:ascii="Arial" w:hAnsi="Arial" w:eastAsia="黑体" w:cs="Arial"/>
          <w:color w:val="auto"/>
          <w:sz w:val="28"/>
          <w:szCs w:val="28"/>
          <w:highlight w:val="none"/>
        </w:rPr>
        <w:t>22、开标</w:t>
      </w:r>
      <w:bookmarkEnd w:id="187"/>
      <w:bookmarkEnd w:id="188"/>
      <w:bookmarkEnd w:id="189"/>
    </w:p>
    <w:p w14:paraId="16B2378A">
      <w:pPr>
        <w:pageBreakBefore w:val="0"/>
        <w:widowControl w:val="0"/>
        <w:spacing w:line="360" w:lineRule="auto"/>
        <w:ind w:left="0" w:right="0" w:firstLine="360"/>
        <w:rPr>
          <w:rFonts w:hint="eastAsia" w:ascii="Times New Roman" w:hAnsi="Times New Roman"/>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采购人或</w:t>
      </w:r>
      <w:r>
        <w:rPr>
          <w:rFonts w:hint="eastAsia" w:ascii="宋体" w:hAnsi="宋体"/>
          <w:color w:val="auto"/>
          <w:sz w:val="24"/>
          <w:szCs w:val="24"/>
          <w:highlight w:val="none"/>
        </w:rPr>
        <w:t>采购</w:t>
      </w:r>
      <w:r>
        <w:rPr>
          <w:rFonts w:hint="eastAsia" w:ascii="宋体" w:hAnsi="宋体"/>
          <w:color w:val="auto"/>
          <w:sz w:val="24"/>
          <w:szCs w:val="24"/>
          <w:highlight w:val="none"/>
          <w:lang w:val="en-US" w:eastAsia="zh-CN"/>
        </w:rPr>
        <w:t>代理机构</w:t>
      </w:r>
      <w:r>
        <w:rPr>
          <w:rFonts w:hint="eastAsia" w:ascii="宋体" w:hAnsi="宋体"/>
          <w:bCs/>
          <w:color w:val="auto"/>
          <w:sz w:val="24"/>
          <w:szCs w:val="21"/>
          <w:highlight w:val="none"/>
        </w:rPr>
        <w:t>将在招标公告中规定的时间和地点组织公开开标</w:t>
      </w:r>
      <w:r>
        <w:rPr>
          <w:rFonts w:hint="eastAsia" w:ascii="宋体" w:hAnsi="宋体"/>
          <w:color w:val="auto"/>
          <w:sz w:val="24"/>
          <w:szCs w:val="24"/>
          <w:highlight w:val="none"/>
        </w:rPr>
        <w:t>。</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7989043E">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2</w:t>
      </w:r>
      <w:r>
        <w:rPr>
          <w:rFonts w:hint="eastAsia" w:ascii="宋体" w:hAnsi="宋体"/>
          <w:bCs/>
          <w:color w:val="auto"/>
          <w:sz w:val="24"/>
          <w:szCs w:val="24"/>
          <w:highlight w:val="none"/>
        </w:rPr>
        <w:t>.2</w:t>
      </w:r>
      <w:r>
        <w:rPr>
          <w:rFonts w:hint="eastAsia" w:ascii="宋体" w:hAnsi="宋体"/>
          <w:color w:val="auto"/>
          <w:sz w:val="24"/>
          <w:szCs w:val="24"/>
          <w:highlight w:val="none"/>
        </w:rPr>
        <w:t>开标仪式由采购</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组织。苏采云系统将自动对</w:t>
      </w:r>
      <w:r>
        <w:rPr>
          <w:rFonts w:ascii="宋体" w:hAnsi="宋体"/>
          <w:color w:val="auto"/>
          <w:sz w:val="24"/>
          <w:szCs w:val="24"/>
          <w:highlight w:val="none"/>
        </w:rPr>
        <w:t>项目进行开标，</w:t>
      </w:r>
      <w:r>
        <w:rPr>
          <w:rFonts w:hint="eastAsia" w:ascii="宋体" w:hAnsi="宋体"/>
          <w:color w:val="auto"/>
          <w:sz w:val="24"/>
          <w:szCs w:val="24"/>
          <w:highlight w:val="none"/>
        </w:rPr>
        <w:t>并宣布各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名称和投标价格。</w:t>
      </w:r>
    </w:p>
    <w:p w14:paraId="65E0DF39">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2</w:t>
      </w:r>
      <w:r>
        <w:rPr>
          <w:rFonts w:hint="eastAsia" w:ascii="宋体" w:hAnsi="宋体"/>
          <w:bCs/>
          <w:color w:val="auto"/>
          <w:sz w:val="24"/>
          <w:szCs w:val="21"/>
          <w:highlight w:val="none"/>
        </w:rPr>
        <w:t>.3</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在开标过程中涉及到的投标文件解密、开标结果确认等工作，应按照《操作手册》规定执行。</w:t>
      </w:r>
    </w:p>
    <w:p w14:paraId="3698812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2</w:t>
      </w:r>
      <w:r>
        <w:rPr>
          <w:rFonts w:hint="eastAsia" w:ascii="宋体" w:hAnsi="宋体"/>
          <w:color w:val="auto"/>
          <w:sz w:val="24"/>
          <w:szCs w:val="24"/>
          <w:highlight w:val="none"/>
        </w:rPr>
        <w:t>.4</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如果对开标过程和开标记录有疑义，应当根据《操作手册》规定提出，如 苏采云系统中《开标记录表》宣布后5分钟内未提出的，视同认可开标结果。</w:t>
      </w:r>
    </w:p>
    <w:p w14:paraId="3AE580C6">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90" w:name="_Toc513029231"/>
      <w:bookmarkStart w:id="191" w:name="_Toc16938547"/>
      <w:bookmarkStart w:id="192" w:name="_Toc20823303"/>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3</w:t>
      </w:r>
      <w:r>
        <w:rPr>
          <w:rFonts w:hint="eastAsia" w:ascii="Arial" w:hAnsi="Arial" w:eastAsia="黑体" w:cs="Arial"/>
          <w:color w:val="auto"/>
          <w:sz w:val="28"/>
          <w:szCs w:val="28"/>
          <w:highlight w:val="none"/>
        </w:rPr>
        <w:t>、评标委员会</w:t>
      </w:r>
    </w:p>
    <w:p w14:paraId="22CBCEFE">
      <w:pPr>
        <w:pageBreakBefore w:val="0"/>
        <w:widowControl w:val="0"/>
        <w:spacing w:line="360" w:lineRule="auto"/>
        <w:ind w:left="0" w:right="0"/>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开标后，采购</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将立即组织评标委员会（以下简称评委会）进行评标。</w:t>
      </w:r>
    </w:p>
    <w:p w14:paraId="22A86BFD">
      <w:pPr>
        <w:pageBreakBefore w:val="0"/>
        <w:widowControl w:val="0"/>
        <w:spacing w:line="360" w:lineRule="auto"/>
        <w:ind w:left="0" w:right="0"/>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.2 评委会由采购人代表和有关技术、经济等方面的专家组成，且人员构成符合政府采购有关规定。</w:t>
      </w:r>
    </w:p>
    <w:p w14:paraId="5307DDAB">
      <w:pPr>
        <w:pageBreakBefore w:val="0"/>
        <w:widowControl w:val="0"/>
        <w:spacing w:line="360" w:lineRule="auto"/>
        <w:ind w:left="0" w:right="0"/>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.3评委会独立工作，负责评审所有投标文件并确定中标</w:t>
      </w:r>
      <w:r>
        <w:rPr>
          <w:rFonts w:hint="eastAsia" w:ascii="宋体" w:hAnsi="宋体"/>
          <w:color w:val="auto"/>
          <w:sz w:val="24"/>
          <w:szCs w:val="24"/>
          <w:highlight w:val="none"/>
          <w:lang w:eastAsia="zh-CN"/>
        </w:rPr>
        <w:t>候</w:t>
      </w:r>
      <w:r>
        <w:rPr>
          <w:rFonts w:hint="eastAsia" w:ascii="宋体" w:hAnsi="宋体"/>
          <w:color w:val="auto"/>
          <w:sz w:val="24"/>
          <w:szCs w:val="24"/>
          <w:highlight w:val="none"/>
        </w:rPr>
        <w:t>选人。</w:t>
      </w:r>
    </w:p>
    <w:p w14:paraId="0E3A5E06">
      <w:pPr>
        <w:keepNext/>
        <w:keepLines/>
        <w:pageBreakBefore w:val="0"/>
        <w:widowControl w:val="0"/>
        <w:spacing w:line="360" w:lineRule="auto"/>
        <w:ind w:left="0" w:right="0" w:firstLine="420"/>
        <w:outlineLvl w:val="3"/>
        <w:rPr>
          <w:rFonts w:hint="eastAsia" w:ascii="黑体" w:hAnsi="Arial" w:eastAsia="黑体" w:cs="Arial"/>
          <w:color w:val="auto"/>
          <w:sz w:val="28"/>
          <w:szCs w:val="28"/>
          <w:highlight w:val="none"/>
        </w:rPr>
      </w:pPr>
      <w:r>
        <w:rPr>
          <w:rFonts w:hint="eastAsia" w:ascii="黑体" w:hAnsi="Arial" w:eastAsia="黑体" w:cs="Arial"/>
          <w:color w:val="auto"/>
          <w:sz w:val="28"/>
          <w:szCs w:val="28"/>
          <w:highlight w:val="none"/>
        </w:rPr>
        <w:t>2</w:t>
      </w:r>
      <w:r>
        <w:rPr>
          <w:rFonts w:ascii="黑体" w:hAnsi="Arial" w:eastAsia="黑体" w:cs="Arial"/>
          <w:color w:val="auto"/>
          <w:sz w:val="28"/>
          <w:szCs w:val="28"/>
          <w:highlight w:val="none"/>
        </w:rPr>
        <w:t>4</w:t>
      </w:r>
      <w:r>
        <w:rPr>
          <w:rFonts w:hint="eastAsia" w:ascii="黑体" w:hAnsi="Arial" w:eastAsia="黑体" w:cs="Arial"/>
          <w:color w:val="auto"/>
          <w:sz w:val="28"/>
          <w:szCs w:val="28"/>
          <w:highlight w:val="none"/>
        </w:rPr>
        <w:t>．评标过程的保密与公正</w:t>
      </w:r>
    </w:p>
    <w:bookmarkEnd w:id="190"/>
    <w:bookmarkEnd w:id="191"/>
    <w:bookmarkEnd w:id="192"/>
    <w:p w14:paraId="2CCE1113">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bCs/>
          <w:color w:val="auto"/>
          <w:sz w:val="24"/>
          <w:szCs w:val="21"/>
          <w:highlight w:val="none"/>
        </w:rPr>
        <w:t>凡是与审查、澄清、评价和比较投标的有关资料以及授标建议等，采购人、评委、采购</w:t>
      </w:r>
      <w:r>
        <w:rPr>
          <w:rFonts w:hint="eastAsia" w:ascii="宋体" w:hAnsi="宋体"/>
          <w:bCs/>
          <w:color w:val="auto"/>
          <w:sz w:val="24"/>
          <w:szCs w:val="21"/>
          <w:highlight w:val="none"/>
          <w:lang w:val="en-US" w:eastAsia="zh-CN"/>
        </w:rPr>
        <w:t>代理机构</w:t>
      </w:r>
      <w:r>
        <w:rPr>
          <w:rFonts w:hint="eastAsia" w:ascii="宋体" w:hAnsi="宋体"/>
          <w:bCs/>
          <w:color w:val="auto"/>
          <w:sz w:val="24"/>
          <w:szCs w:val="21"/>
          <w:highlight w:val="none"/>
        </w:rPr>
        <w:t>均不得向</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或与评标无关的其他人员透露。</w:t>
      </w:r>
    </w:p>
    <w:p w14:paraId="59CD799B">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4"/>
          <w:highlight w:val="none"/>
        </w:rPr>
        <w:t>在评标过程中，</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不得以任何行为影响评标过程，否则其投标文件将被作为无效投标文件。</w:t>
      </w:r>
    </w:p>
    <w:p w14:paraId="585BCF0E">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 xml:space="preserve"> 采购</w:t>
      </w:r>
      <w:r>
        <w:rPr>
          <w:rFonts w:hint="eastAsia" w:ascii="宋体" w:hAnsi="宋体"/>
          <w:color w:val="auto"/>
          <w:sz w:val="24"/>
          <w:szCs w:val="24"/>
          <w:highlight w:val="none"/>
          <w:lang w:val="en-US" w:eastAsia="zh-CN"/>
        </w:rPr>
        <w:t>人、采购代理机构</w:t>
      </w:r>
      <w:r>
        <w:rPr>
          <w:rFonts w:hint="eastAsia" w:ascii="宋体" w:hAnsi="宋体"/>
          <w:color w:val="auto"/>
          <w:sz w:val="24"/>
          <w:szCs w:val="24"/>
          <w:highlight w:val="none"/>
        </w:rPr>
        <w:t>和评标委员会不向未中标的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解释未中标原因，也不公布评标过程中的相关细节。</w:t>
      </w:r>
    </w:p>
    <w:p w14:paraId="72AF2136">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4</w:t>
      </w: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 xml:space="preserve"> 采用综合评分法的项目，未中标的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可于中标结果公告期限届满之日起通过苏采云系统查看自己的评审得分及排序情况。</w:t>
      </w:r>
    </w:p>
    <w:p w14:paraId="3767EDA5">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bookmarkStart w:id="193" w:name="_Toc16938548"/>
      <w:bookmarkStart w:id="194" w:name="_Toc513029232"/>
      <w:bookmarkStart w:id="195" w:name="_Toc20823304"/>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5</w:t>
      </w:r>
      <w:r>
        <w:rPr>
          <w:rFonts w:hint="eastAsia" w:ascii="Arial" w:hAnsi="Arial" w:eastAsia="黑体" w:cs="Arial"/>
          <w:color w:val="auto"/>
          <w:sz w:val="28"/>
          <w:szCs w:val="28"/>
          <w:highlight w:val="none"/>
        </w:rPr>
        <w:t>．投标文件的澄清</w:t>
      </w:r>
      <w:bookmarkEnd w:id="193"/>
      <w:bookmarkEnd w:id="194"/>
      <w:bookmarkEnd w:id="195"/>
    </w:p>
    <w:p w14:paraId="2E6FAEBA">
      <w:pPr>
        <w:pageBreakBefore w:val="0"/>
        <w:widowControl w:val="0"/>
        <w:spacing w:line="360" w:lineRule="auto"/>
        <w:ind w:left="0" w:right="0" w:firstLine="480"/>
        <w:rPr>
          <w:rFonts w:ascii="宋体" w:hAnsi="宋体"/>
          <w:color w:val="auto"/>
          <w:sz w:val="24"/>
          <w:szCs w:val="24"/>
          <w:highlight w:val="none"/>
        </w:rPr>
      </w:pPr>
      <w:bookmarkStart w:id="196" w:name="_Toc20823305"/>
      <w:bookmarkStart w:id="197" w:name="_Toc513029233"/>
      <w:bookmarkStart w:id="198" w:name="_Toc16938549"/>
      <w:r>
        <w:rPr>
          <w:rFonts w:ascii="宋体" w:hAnsi="宋体"/>
          <w:color w:val="auto"/>
          <w:sz w:val="24"/>
          <w:szCs w:val="24"/>
          <w:highlight w:val="none"/>
        </w:rPr>
        <w:t>25</w:t>
      </w: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作出必要的澄清、说明或者补正。</w:t>
      </w:r>
    </w:p>
    <w:p w14:paraId="4854C207">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的澄清、说明或者补正不得超出投标文件的范围或者改变投标文件的实质性内容。</w:t>
      </w:r>
    </w:p>
    <w:p w14:paraId="0C24DBF5">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w:t>
      </w:r>
      <w:r>
        <w:rPr>
          <w:rFonts w:hint="eastAsia" w:ascii="宋体" w:hAnsi="宋体"/>
          <w:color w:val="auto"/>
          <w:sz w:val="24"/>
          <w:szCs w:val="24"/>
          <w:highlight w:val="none"/>
          <w:lang w:eastAsia="zh-CN"/>
        </w:rPr>
        <w:t>供应商</w:t>
      </w:r>
      <w:r>
        <w:rPr>
          <w:rFonts w:ascii="宋体" w:hAnsi="宋体"/>
          <w:color w:val="auto"/>
          <w:sz w:val="24"/>
          <w:szCs w:val="24"/>
          <w:highlight w:val="none"/>
        </w:rPr>
        <w:t>都做澄清要求</w:t>
      </w:r>
      <w:r>
        <w:rPr>
          <w:rFonts w:hint="eastAsia" w:ascii="宋体" w:hAnsi="宋体"/>
          <w:color w:val="auto"/>
          <w:sz w:val="24"/>
          <w:szCs w:val="24"/>
          <w:highlight w:val="none"/>
        </w:rPr>
        <w:t>。</w:t>
      </w:r>
    </w:p>
    <w:p w14:paraId="048E91F3">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.2需要</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进行澄清、说明和补正的，评委会将通过苏采云系统向</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发出“澄清要求函”，接到“澄清要求函”的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应当按照要求在苏采云系统中提交“澄清响应函”并加盖CA电子公章。澄清、说明和补正的内容作为投标文件的补充部分，具体操作方式见《操作手册》。</w:t>
      </w:r>
    </w:p>
    <w:p w14:paraId="649D7D46">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.3 接到评委会澄清、说明和补正要求的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如未按规定</w:t>
      </w:r>
      <w:r>
        <w:rPr>
          <w:rFonts w:hint="eastAsia" w:ascii="宋体" w:hAnsi="宋体"/>
          <w:color w:val="auto"/>
          <w:sz w:val="24"/>
          <w:szCs w:val="24"/>
          <w:highlight w:val="none"/>
          <w:lang w:eastAsia="zh-CN"/>
        </w:rPr>
        <w:t>作出</w:t>
      </w:r>
      <w:r>
        <w:rPr>
          <w:rFonts w:hint="eastAsia" w:ascii="宋体" w:hAnsi="宋体"/>
          <w:color w:val="auto"/>
          <w:sz w:val="24"/>
          <w:szCs w:val="24"/>
          <w:highlight w:val="none"/>
        </w:rPr>
        <w:t>澄清、说明和补正，其风险由</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自行承担。</w:t>
      </w:r>
    </w:p>
    <w:p w14:paraId="1BC5E3A7">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6</w:t>
      </w:r>
      <w:r>
        <w:rPr>
          <w:rFonts w:hint="eastAsia" w:ascii="Arial" w:hAnsi="Arial" w:eastAsia="黑体" w:cs="Arial"/>
          <w:color w:val="auto"/>
          <w:sz w:val="28"/>
          <w:szCs w:val="28"/>
          <w:highlight w:val="none"/>
        </w:rPr>
        <w:t>、对投标文件的初审</w:t>
      </w:r>
      <w:bookmarkEnd w:id="196"/>
      <w:bookmarkEnd w:id="197"/>
      <w:bookmarkEnd w:id="198"/>
    </w:p>
    <w:p w14:paraId="267D80BA">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投标文件初审分为资格审查和符合性审查。</w:t>
      </w:r>
    </w:p>
    <w:p w14:paraId="1328755E">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资格审查：依据法律法规和招标文件的规定，由采购人对投标文件中的资格证明文件进行审查。资格审查的结论，采购人以书面形式向评委会进行反馈。</w:t>
      </w:r>
    </w:p>
    <w:tbl>
      <w:tblPr>
        <w:tblStyle w:val="31"/>
        <w:tblpPr w:leftFromText="180" w:rightFromText="180" w:vertAnchor="text" w:horzAnchor="page" w:tblpX="1680" w:tblpY="378"/>
        <w:tblOverlap w:val="never"/>
        <w:tblW w:w="89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4942"/>
        <w:gridCol w:w="3327"/>
      </w:tblGrid>
      <w:tr w14:paraId="12BF4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647" w:type="dxa"/>
            <w:noWrap w:val="0"/>
            <w:vAlign w:val="center"/>
          </w:tcPr>
          <w:p w14:paraId="47199E84">
            <w:pPr>
              <w:widowControl/>
              <w:spacing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942" w:type="dxa"/>
            <w:noWrap w:val="0"/>
            <w:vAlign w:val="center"/>
          </w:tcPr>
          <w:p w14:paraId="20F6F8B2">
            <w:pPr>
              <w:widowControl/>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资料名称</w:t>
            </w:r>
          </w:p>
        </w:tc>
        <w:tc>
          <w:tcPr>
            <w:tcW w:w="3327" w:type="dxa"/>
            <w:noWrap w:val="0"/>
            <w:vAlign w:val="center"/>
          </w:tcPr>
          <w:p w14:paraId="49F07F2E">
            <w:pPr>
              <w:widowControl/>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  注</w:t>
            </w:r>
          </w:p>
        </w:tc>
      </w:tr>
      <w:tr w14:paraId="0AC3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7" w:type="dxa"/>
            <w:noWrap w:val="0"/>
            <w:vAlign w:val="center"/>
          </w:tcPr>
          <w:p w14:paraId="1E0247E8">
            <w:pPr>
              <w:widowControl/>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942" w:type="dxa"/>
            <w:noWrap w:val="0"/>
            <w:vAlign w:val="center"/>
          </w:tcPr>
          <w:p w14:paraId="5DE1B83D">
            <w:pPr>
              <w:widowControl/>
              <w:spacing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3327" w:type="dxa"/>
            <w:noWrap w:val="0"/>
            <w:vAlign w:val="center"/>
          </w:tcPr>
          <w:p w14:paraId="2E4FC708">
            <w:pPr>
              <w:widowControl/>
              <w:spacing w:line="264" w:lineRule="auto"/>
              <w:jc w:val="left"/>
              <w:rPr>
                <w:rFonts w:hint="eastAsia" w:ascii="宋体" w:hAnsi="宋体" w:eastAsia="宋体" w:cs="宋体"/>
                <w:color w:val="auto"/>
                <w:sz w:val="21"/>
                <w:szCs w:val="21"/>
                <w:highlight w:val="none"/>
              </w:rPr>
            </w:pPr>
          </w:p>
        </w:tc>
      </w:tr>
      <w:tr w14:paraId="0D48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647" w:type="dxa"/>
            <w:noWrap w:val="0"/>
            <w:vAlign w:val="center"/>
          </w:tcPr>
          <w:p w14:paraId="0A7F587B">
            <w:pPr>
              <w:widowControl/>
              <w:spacing w:line="264"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4942" w:type="dxa"/>
            <w:noWrap w:val="0"/>
            <w:vAlign w:val="center"/>
          </w:tcPr>
          <w:p w14:paraId="53CC412E">
            <w:pPr>
              <w:widowControl/>
              <w:spacing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3327" w:type="dxa"/>
            <w:vMerge w:val="restart"/>
            <w:noWrap w:val="0"/>
            <w:vAlign w:val="center"/>
          </w:tcPr>
          <w:p w14:paraId="5993FCAF">
            <w:pPr>
              <w:widowControl/>
              <w:spacing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根据连财购〔2023〕4号、连财购</w:t>
            </w:r>
            <w:r>
              <w:rPr>
                <w:rFonts w:hint="eastAsia" w:ascii="宋体" w:hAnsi="宋体" w:eastAsia="宋体" w:cs="宋体"/>
                <w:color w:val="auto"/>
                <w:sz w:val="21"/>
                <w:szCs w:val="21"/>
                <w:highlight w:val="none"/>
                <w:lang w:eastAsia="zh-CN"/>
              </w:rPr>
              <w:t>〔2023〕9号</w:t>
            </w:r>
            <w:r>
              <w:rPr>
                <w:rFonts w:hint="eastAsia" w:ascii="宋体" w:hAnsi="宋体" w:eastAsia="宋体" w:cs="宋体"/>
                <w:color w:val="auto"/>
                <w:sz w:val="21"/>
                <w:szCs w:val="21"/>
                <w:highlight w:val="none"/>
              </w:rPr>
              <w:t>文件精神，</w:t>
            </w:r>
            <w:r>
              <w:rPr>
                <w:rFonts w:hint="eastAsia" w:ascii="宋体" w:hAnsi="宋体" w:eastAsia="宋体" w:cs="宋体"/>
                <w:color w:val="auto"/>
                <w:sz w:val="21"/>
                <w:szCs w:val="21"/>
                <w:highlight w:val="none"/>
                <w:lang w:val="en-US" w:eastAsia="zh-CN"/>
              </w:rPr>
              <w:t>不再要求供应商提供相关财务状况、缴纳税收和社会保障资金等证明材料，具体格式详见招标文件第六章投标文件格式</w:t>
            </w:r>
          </w:p>
        </w:tc>
      </w:tr>
      <w:tr w14:paraId="5448E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7" w:type="dxa"/>
            <w:noWrap w:val="0"/>
            <w:vAlign w:val="center"/>
          </w:tcPr>
          <w:p w14:paraId="665ABC50">
            <w:pPr>
              <w:widowControl/>
              <w:spacing w:line="264"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4942" w:type="dxa"/>
            <w:noWrap w:val="0"/>
            <w:vAlign w:val="center"/>
          </w:tcPr>
          <w:p w14:paraId="0A88E132">
            <w:pPr>
              <w:widowControl/>
              <w:spacing w:line="264" w:lineRule="auto"/>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依法缴纳税收和社会保障资金的相关</w:t>
            </w:r>
            <w:r>
              <w:rPr>
                <w:rFonts w:hint="eastAsia" w:ascii="宋体" w:hAnsi="宋体" w:cs="宋体"/>
                <w:color w:val="auto"/>
                <w:sz w:val="21"/>
                <w:szCs w:val="21"/>
                <w:highlight w:val="none"/>
                <w:lang w:val="en-US" w:eastAsia="zh-CN"/>
              </w:rPr>
              <w:t>证明</w:t>
            </w:r>
          </w:p>
        </w:tc>
        <w:tc>
          <w:tcPr>
            <w:tcW w:w="3327" w:type="dxa"/>
            <w:vMerge w:val="continue"/>
            <w:noWrap w:val="0"/>
            <w:vAlign w:val="center"/>
          </w:tcPr>
          <w:p w14:paraId="107053B9">
            <w:pPr>
              <w:widowControl/>
              <w:spacing w:line="264" w:lineRule="auto"/>
              <w:jc w:val="center"/>
              <w:rPr>
                <w:rFonts w:hint="eastAsia" w:ascii="宋体" w:hAnsi="宋体" w:cs="宋体"/>
                <w:color w:val="auto"/>
                <w:sz w:val="21"/>
                <w:szCs w:val="21"/>
                <w:highlight w:val="none"/>
              </w:rPr>
            </w:pPr>
          </w:p>
        </w:tc>
      </w:tr>
      <w:tr w14:paraId="5B48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47" w:type="dxa"/>
            <w:noWrap w:val="0"/>
            <w:vAlign w:val="center"/>
          </w:tcPr>
          <w:p w14:paraId="5DDD6152">
            <w:pPr>
              <w:widowControl/>
              <w:spacing w:line="264"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4942" w:type="dxa"/>
            <w:shd w:val="clear" w:color="auto" w:fill="auto"/>
            <w:noWrap w:val="0"/>
            <w:vAlign w:val="center"/>
          </w:tcPr>
          <w:p w14:paraId="0C091C29">
            <w:pPr>
              <w:widowControl/>
              <w:spacing w:line="264"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具备履行合同所必需的设备和专业技术能力的声明</w:t>
            </w:r>
          </w:p>
        </w:tc>
        <w:tc>
          <w:tcPr>
            <w:tcW w:w="3327" w:type="dxa"/>
            <w:noWrap w:val="0"/>
            <w:vAlign w:val="center"/>
          </w:tcPr>
          <w:p w14:paraId="6F0B6052">
            <w:pPr>
              <w:widowControl/>
              <w:spacing w:line="264" w:lineRule="auto"/>
              <w:jc w:val="center"/>
              <w:rPr>
                <w:rFonts w:hint="eastAsia" w:ascii="宋体" w:hAnsi="宋体" w:cs="宋体"/>
                <w:color w:val="auto"/>
                <w:sz w:val="21"/>
                <w:szCs w:val="21"/>
                <w:highlight w:val="none"/>
              </w:rPr>
            </w:pPr>
          </w:p>
        </w:tc>
      </w:tr>
      <w:tr w14:paraId="1780D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647" w:type="dxa"/>
            <w:noWrap w:val="0"/>
            <w:vAlign w:val="center"/>
          </w:tcPr>
          <w:p w14:paraId="790FFC49">
            <w:pPr>
              <w:widowControl/>
              <w:spacing w:line="264"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4942" w:type="dxa"/>
            <w:noWrap w:val="0"/>
            <w:vAlign w:val="center"/>
          </w:tcPr>
          <w:p w14:paraId="1D2CC21D">
            <w:pPr>
              <w:widowControl/>
              <w:spacing w:line="264" w:lineRule="auto"/>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参加政府采购活动前3年内在经营活动中没有重大违法记录的书面声明</w:t>
            </w:r>
          </w:p>
        </w:tc>
        <w:tc>
          <w:tcPr>
            <w:tcW w:w="3327" w:type="dxa"/>
            <w:noWrap w:val="0"/>
            <w:vAlign w:val="center"/>
          </w:tcPr>
          <w:p w14:paraId="5ABAB80A">
            <w:pPr>
              <w:widowControl/>
              <w:spacing w:line="264" w:lineRule="auto"/>
              <w:jc w:val="center"/>
              <w:rPr>
                <w:rFonts w:hint="eastAsia" w:ascii="宋体" w:hAnsi="宋体" w:cs="宋体"/>
                <w:color w:val="auto"/>
                <w:sz w:val="21"/>
                <w:szCs w:val="21"/>
                <w:highlight w:val="none"/>
              </w:rPr>
            </w:pPr>
          </w:p>
        </w:tc>
      </w:tr>
      <w:tr w14:paraId="21E8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647" w:type="dxa"/>
            <w:noWrap w:val="0"/>
            <w:vAlign w:val="center"/>
          </w:tcPr>
          <w:p w14:paraId="154DC013">
            <w:pPr>
              <w:widowControl/>
              <w:spacing w:line="26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4942" w:type="dxa"/>
            <w:noWrap w:val="0"/>
            <w:vAlign w:val="center"/>
          </w:tcPr>
          <w:p w14:paraId="298549AE">
            <w:pPr>
              <w:widowControl/>
              <w:spacing w:line="264"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授权代表人身份证</w:t>
            </w:r>
          </w:p>
        </w:tc>
        <w:tc>
          <w:tcPr>
            <w:tcW w:w="3327" w:type="dxa"/>
            <w:noWrap w:val="0"/>
            <w:vAlign w:val="center"/>
          </w:tcPr>
          <w:p w14:paraId="49646823">
            <w:pPr>
              <w:widowControl/>
              <w:spacing w:line="264"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法人参加投标时</w:t>
            </w:r>
            <w:r>
              <w:rPr>
                <w:rFonts w:hint="eastAsia" w:ascii="宋体" w:hAnsi="宋体" w:cs="宋体"/>
                <w:color w:val="auto"/>
                <w:sz w:val="21"/>
                <w:szCs w:val="21"/>
                <w:highlight w:val="none"/>
                <w:lang w:eastAsia="zh-CN"/>
              </w:rPr>
              <w:t>无需</w:t>
            </w:r>
            <w:r>
              <w:rPr>
                <w:rFonts w:hint="eastAsia" w:ascii="宋体" w:hAnsi="宋体" w:cs="宋体"/>
                <w:color w:val="auto"/>
                <w:sz w:val="21"/>
                <w:szCs w:val="21"/>
                <w:highlight w:val="none"/>
              </w:rPr>
              <w:t>提供</w:t>
            </w:r>
            <w:r>
              <w:rPr>
                <w:rFonts w:hint="eastAsia" w:ascii="宋体" w:hAnsi="宋体" w:cs="宋体"/>
                <w:color w:val="auto"/>
                <w:sz w:val="21"/>
                <w:szCs w:val="21"/>
                <w:highlight w:val="none"/>
                <w:lang w:eastAsia="zh-CN"/>
              </w:rPr>
              <w:t>授权委托书</w:t>
            </w:r>
          </w:p>
        </w:tc>
      </w:tr>
      <w:tr w14:paraId="50D1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647" w:type="dxa"/>
            <w:noWrap w:val="0"/>
            <w:vAlign w:val="center"/>
          </w:tcPr>
          <w:p w14:paraId="2FFA2A9D">
            <w:pPr>
              <w:widowControl/>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4942" w:type="dxa"/>
            <w:noWrap w:val="0"/>
            <w:vAlign w:val="center"/>
          </w:tcPr>
          <w:p w14:paraId="64035B93">
            <w:pPr>
              <w:widowControl/>
              <w:spacing w:line="264" w:lineRule="auto"/>
              <w:jc w:val="left"/>
              <w:rPr>
                <w:rFonts w:hint="eastAsia" w:ascii="宋体" w:hAnsi="宋体" w:eastAsia="宋体" w:cs="宋体"/>
                <w:color w:val="auto"/>
                <w:sz w:val="21"/>
                <w:szCs w:val="21"/>
                <w:highlight w:val="none"/>
              </w:rPr>
            </w:pPr>
            <w:r>
              <w:rPr>
                <w:rFonts w:hint="eastAsia" w:ascii="宋体" w:hAnsi="宋体" w:cs="宋体"/>
                <w:bCs/>
                <w:color w:val="auto"/>
                <w:sz w:val="24"/>
                <w:szCs w:val="24"/>
                <w:highlight w:val="none"/>
                <w:lang w:val="en-US" w:eastAsia="zh-CN"/>
              </w:rPr>
              <w:t>有效期内的《道路运输经营许可证》</w:t>
            </w:r>
          </w:p>
        </w:tc>
        <w:tc>
          <w:tcPr>
            <w:tcW w:w="3327" w:type="dxa"/>
            <w:noWrap w:val="0"/>
            <w:vAlign w:val="center"/>
          </w:tcPr>
          <w:p w14:paraId="3FABCDA0">
            <w:pPr>
              <w:widowControl/>
              <w:spacing w:line="264" w:lineRule="auto"/>
              <w:jc w:val="center"/>
              <w:rPr>
                <w:rFonts w:hint="eastAsia" w:ascii="宋体" w:hAnsi="宋体" w:cs="宋体"/>
                <w:color w:val="auto"/>
                <w:sz w:val="21"/>
                <w:szCs w:val="21"/>
                <w:highlight w:val="none"/>
              </w:rPr>
            </w:pPr>
          </w:p>
        </w:tc>
      </w:tr>
    </w:tbl>
    <w:p w14:paraId="5178279C">
      <w:pPr>
        <w:spacing w:line="360" w:lineRule="auto"/>
        <w:ind w:firstLine="422" w:firstLineChars="200"/>
        <w:rPr>
          <w:rFonts w:hint="eastAsia" w:ascii="宋体" w:hAnsi="宋体" w:eastAsia="宋体" w:cs="Times New Roman"/>
          <w:bCs/>
          <w:color w:val="auto"/>
          <w:sz w:val="24"/>
          <w:szCs w:val="21"/>
          <w:highlight w:val="none"/>
          <w:lang w:val="en-US" w:eastAsia="zh-CN"/>
        </w:rPr>
      </w:pPr>
      <w:r>
        <w:rPr>
          <w:rFonts w:hint="eastAsia" w:ascii="宋体" w:hAnsi="宋体" w:cs="宋体"/>
          <w:b/>
          <w:bCs/>
          <w:color w:val="auto"/>
          <w:sz w:val="21"/>
          <w:szCs w:val="21"/>
          <w:highlight w:val="none"/>
        </w:rPr>
        <w:t>注：上述资料原件彩色扫描件必须上传至响应文件制作工具中</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否则视为资格审查不通过。</w:t>
      </w:r>
    </w:p>
    <w:p w14:paraId="6939BBFA">
      <w:pPr>
        <w:keepNext w:val="0"/>
        <w:keepLines w:val="0"/>
        <w:pageBreakBefore w:val="0"/>
        <w:widowControl w:val="0"/>
        <w:kinsoku/>
        <w:wordWrap w:val="0"/>
        <w:overflowPunct/>
        <w:topLinePunct w:val="0"/>
        <w:autoSpaceDE/>
        <w:autoSpaceDN/>
        <w:bidi w:val="0"/>
        <w:adjustRightInd/>
        <w:snapToGrid/>
        <w:spacing w:line="360" w:lineRule="auto"/>
        <w:ind w:left="0" w:right="0" w:firstLine="482"/>
        <w:jc w:val="left"/>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采购人在进行资格性审查的同时，将在“信用中国”网站（www.creditchina.gov.cn）</w:t>
      </w:r>
      <w:r>
        <w:rPr>
          <w:rFonts w:hint="eastAsia" w:ascii="宋体" w:hAnsi="宋体"/>
          <w:bCs/>
          <w:color w:val="auto"/>
          <w:sz w:val="24"/>
          <w:szCs w:val="21"/>
          <w:highlight w:val="none"/>
          <w:lang w:eastAsia="zh-CN"/>
        </w:rPr>
        <w:t>、</w:t>
      </w:r>
      <w:r>
        <w:rPr>
          <w:rFonts w:hint="eastAsia" w:ascii="宋体" w:hAnsi="宋体"/>
          <w:color w:val="auto"/>
          <w:sz w:val="24"/>
          <w:szCs w:val="24"/>
          <w:highlight w:val="none"/>
        </w:rPr>
        <w:t>中国政府采购网（www.ccgp.gov.cn）</w:t>
      </w:r>
      <w:r>
        <w:rPr>
          <w:rFonts w:hint="eastAsia" w:ascii="宋体" w:hAnsi="宋体"/>
          <w:bCs/>
          <w:color w:val="auto"/>
          <w:sz w:val="24"/>
          <w:szCs w:val="21"/>
          <w:highlight w:val="none"/>
        </w:rPr>
        <w:t>查询</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的信用记录，以确定</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是否具备投标资格</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查询结果留存并归档。</w:t>
      </w:r>
    </w:p>
    <w:p w14:paraId="6B7C5B84">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符合性审查：依据招标文件的规定，由评委会从投标文件的有效性、完整性和对招标文件的响应程度进行审查，以确定是否对招标文件的实质性要求作出响应。</w:t>
      </w:r>
    </w:p>
    <w:p w14:paraId="39B0197F">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，采购</w:t>
      </w:r>
      <w:r>
        <w:rPr>
          <w:rFonts w:hint="eastAsia" w:ascii="宋体" w:hAnsi="宋体"/>
          <w:bCs/>
          <w:color w:val="auto"/>
          <w:sz w:val="24"/>
          <w:szCs w:val="21"/>
          <w:highlight w:val="none"/>
          <w:lang w:val="en-US" w:eastAsia="zh-CN"/>
        </w:rPr>
        <w:t>人或</w:t>
      </w:r>
      <w:r>
        <w:rPr>
          <w:rFonts w:hint="eastAsia" w:ascii="宋体" w:hAnsi="宋体"/>
          <w:bCs/>
          <w:color w:val="auto"/>
          <w:sz w:val="24"/>
          <w:szCs w:val="21"/>
          <w:highlight w:val="none"/>
        </w:rPr>
        <w:t>采购</w:t>
      </w:r>
      <w:r>
        <w:rPr>
          <w:rFonts w:hint="eastAsia" w:ascii="宋体" w:hAnsi="宋体"/>
          <w:bCs/>
          <w:color w:val="auto"/>
          <w:sz w:val="24"/>
          <w:szCs w:val="21"/>
          <w:highlight w:val="none"/>
          <w:lang w:val="en-US" w:eastAsia="zh-CN"/>
        </w:rPr>
        <w:t>代理机构</w:t>
      </w:r>
      <w:r>
        <w:rPr>
          <w:rFonts w:hint="eastAsia" w:ascii="宋体" w:hAnsi="宋体"/>
          <w:bCs/>
          <w:color w:val="auto"/>
          <w:sz w:val="24"/>
          <w:szCs w:val="21"/>
          <w:highlight w:val="none"/>
        </w:rPr>
        <w:t>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中告知未通过资格审查或符合性审查的原因，评审结束后，采购</w:t>
      </w:r>
      <w:r>
        <w:rPr>
          <w:rFonts w:hint="eastAsia" w:ascii="宋体" w:hAnsi="宋体"/>
          <w:bCs/>
          <w:color w:val="auto"/>
          <w:sz w:val="24"/>
          <w:szCs w:val="21"/>
          <w:highlight w:val="none"/>
          <w:lang w:val="en-US" w:eastAsia="zh-CN"/>
        </w:rPr>
        <w:t>人或采购代理机构</w:t>
      </w:r>
      <w:r>
        <w:rPr>
          <w:rFonts w:hint="eastAsia" w:ascii="宋体" w:hAnsi="宋体"/>
          <w:bCs/>
          <w:color w:val="auto"/>
          <w:sz w:val="24"/>
          <w:szCs w:val="21"/>
          <w:highlight w:val="none"/>
        </w:rPr>
        <w:t>将不再告知未通过资格审查或符合性审查的原因。</w:t>
      </w:r>
    </w:p>
    <w:p w14:paraId="1C1ED3B8">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4337FCA">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所谓重大偏离或保留是指与招标文件规定的实质性要求存在负偏离，或者在实质上与招标文件不一致，而且限制了合同中买方和采购</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的权利或</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的义务，纠正这些偏离或保留将会对其他实质性响应要求的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的竞争地位产生不公正的影响。重大偏离的认定需经过评委会以少数服从多数的原则作出结论。</w:t>
      </w:r>
      <w:r>
        <w:rPr>
          <w:rFonts w:hint="eastAsia" w:ascii="宋体" w:hAnsi="宋体"/>
          <w:bCs/>
          <w:color w:val="auto"/>
          <w:sz w:val="24"/>
          <w:szCs w:val="21"/>
          <w:highlight w:val="none"/>
        </w:rPr>
        <w:t>评委决定投标文件的响应性只根据投标文件本身的内容，而不寻求外部的证据。</w:t>
      </w:r>
    </w:p>
    <w:p w14:paraId="2ECC9966">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.3</w:t>
      </w:r>
      <w:r>
        <w:rPr>
          <w:rFonts w:hint="eastAsia" w:ascii="宋体" w:hAnsi="宋体"/>
          <w:bCs/>
          <w:color w:val="auto"/>
          <w:sz w:val="24"/>
          <w:szCs w:val="21"/>
          <w:highlight w:val="none"/>
        </w:rPr>
        <w:t>如果投标文件实质上没有响应招标文件的要求，评委会将予以拒绝，</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不得通过修改或撤销</w:t>
      </w:r>
      <w:r>
        <w:rPr>
          <w:rFonts w:hint="eastAsia" w:ascii="宋体" w:hAnsi="宋体"/>
          <w:bCs/>
          <w:color w:val="auto"/>
          <w:sz w:val="24"/>
          <w:szCs w:val="21"/>
          <w:highlight w:val="none"/>
          <w:lang w:eastAsia="zh-CN"/>
        </w:rPr>
        <w:t>不符</w:t>
      </w:r>
      <w:r>
        <w:rPr>
          <w:rFonts w:hint="eastAsia" w:ascii="宋体" w:hAnsi="宋体"/>
          <w:bCs/>
          <w:color w:val="auto"/>
          <w:sz w:val="24"/>
          <w:szCs w:val="21"/>
          <w:highlight w:val="none"/>
        </w:rPr>
        <w:t>合要求的偏离或保留而使其投标成为实质性响应的投标。</w:t>
      </w:r>
    </w:p>
    <w:p w14:paraId="59A825ED">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.4</w:t>
      </w:r>
      <w:r>
        <w:rPr>
          <w:rFonts w:hint="eastAsia" w:ascii="宋体" w:hAnsi="宋体"/>
          <w:bCs/>
          <w:color w:val="auto"/>
          <w:sz w:val="24"/>
          <w:szCs w:val="21"/>
          <w:highlight w:val="none"/>
        </w:rPr>
        <w:t>评委会将对确定为实质性响应的投标进行进一步审核，看其是否有计算上或累加上的算术错误，修正错误的原则如下：</w:t>
      </w:r>
    </w:p>
    <w:p w14:paraId="57412E89">
      <w:pPr>
        <w:pageBreakBefore w:val="0"/>
        <w:widowControl w:val="0"/>
        <w:spacing w:line="360" w:lineRule="auto"/>
        <w:ind w:left="0" w:right="0" w:firstLine="480"/>
        <w:rPr>
          <w:rFonts w:ascii="宋体" w:hAnsi="宋体"/>
          <w:bCs/>
          <w:color w:val="auto"/>
          <w:sz w:val="24"/>
          <w:szCs w:val="21"/>
          <w:highlight w:val="none"/>
        </w:rPr>
      </w:pPr>
      <w:r>
        <w:rPr>
          <w:rFonts w:hint="eastAsia" w:ascii="宋体" w:hAnsi="宋体"/>
          <w:bCs/>
          <w:color w:val="auto"/>
          <w:sz w:val="24"/>
          <w:szCs w:val="21"/>
          <w:highlight w:val="none"/>
        </w:rPr>
        <w:t>（1）投标文件中开标一览表内容与投标文件中相应内容不一致的，以开标一览表为准。</w:t>
      </w:r>
    </w:p>
    <w:p w14:paraId="031ED269">
      <w:pPr>
        <w:pageBreakBefore w:val="0"/>
        <w:widowControl w:val="0"/>
        <w:spacing w:line="360" w:lineRule="auto"/>
        <w:ind w:left="0" w:right="0" w:firstLine="480"/>
        <w:rPr>
          <w:rFonts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722DE1BC">
      <w:pPr>
        <w:pageBreakBefore w:val="0"/>
        <w:widowControl w:val="0"/>
        <w:spacing w:line="360" w:lineRule="auto"/>
        <w:ind w:left="0" w:right="0" w:firstLine="480"/>
        <w:rPr>
          <w:rFonts w:ascii="宋体" w:hAnsi="宋体"/>
          <w:bCs/>
          <w:color w:val="auto"/>
          <w:sz w:val="24"/>
          <w:szCs w:val="21"/>
          <w:highlight w:val="none"/>
        </w:rPr>
      </w:pPr>
      <w:r>
        <w:rPr>
          <w:rFonts w:hint="eastAsia" w:ascii="宋体" w:hAnsi="宋体"/>
          <w:bCs/>
          <w:color w:val="auto"/>
          <w:sz w:val="24"/>
          <w:szCs w:val="21"/>
          <w:highlight w:val="none"/>
        </w:rPr>
        <w:t>（3）单价金额小数点或者百分比有明显错位的，以开标一览表的总价为准，并修改单价。</w:t>
      </w:r>
    </w:p>
    <w:p w14:paraId="5FD5930E">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36DD0F52">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6FDD83DE">
      <w:pPr>
        <w:pageBreakBefore w:val="0"/>
        <w:widowControl w:val="0"/>
        <w:spacing w:line="360" w:lineRule="auto"/>
        <w:ind w:left="0" w:right="0" w:firstLine="48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评委会将按上述修正错误的方法调整投标文件中的投标报价，并</w:t>
      </w:r>
      <w:r>
        <w:rPr>
          <w:rFonts w:ascii="宋体" w:hAnsi="宋体"/>
          <w:bCs/>
          <w:color w:val="auto"/>
          <w:sz w:val="24"/>
          <w:szCs w:val="21"/>
          <w:highlight w:val="none"/>
        </w:rPr>
        <w:t>通过</w:t>
      </w:r>
      <w:r>
        <w:rPr>
          <w:rFonts w:hint="eastAsia" w:ascii="宋体" w:hAnsi="宋体"/>
          <w:color w:val="auto"/>
          <w:sz w:val="24"/>
          <w:szCs w:val="24"/>
          <w:highlight w:val="none"/>
        </w:rPr>
        <w:t>苏采云系统</w:t>
      </w:r>
      <w:r>
        <w:rPr>
          <w:rFonts w:hint="eastAsia" w:ascii="宋体" w:hAnsi="宋体"/>
          <w:bCs/>
          <w:color w:val="auto"/>
          <w:sz w:val="24"/>
          <w:szCs w:val="21"/>
          <w:highlight w:val="none"/>
        </w:rPr>
        <w:t>告知</w:t>
      </w:r>
      <w:r>
        <w:rPr>
          <w:rFonts w:hint="eastAsia" w:ascii="宋体" w:hAnsi="宋体"/>
          <w:bCs/>
          <w:color w:val="auto"/>
          <w:sz w:val="24"/>
          <w:szCs w:val="21"/>
          <w:highlight w:val="none"/>
          <w:lang w:eastAsia="zh-CN"/>
        </w:rPr>
        <w:t>供应商</w:t>
      </w:r>
      <w:r>
        <w:rPr>
          <w:rFonts w:ascii="宋体" w:hAnsi="宋体"/>
          <w:bCs/>
          <w:color w:val="auto"/>
          <w:sz w:val="24"/>
          <w:szCs w:val="21"/>
          <w:highlight w:val="none"/>
        </w:rPr>
        <w:t>，</w:t>
      </w:r>
      <w:r>
        <w:rPr>
          <w:rFonts w:hint="eastAsia" w:ascii="宋体" w:hAnsi="宋体"/>
          <w:bCs/>
          <w:color w:val="auto"/>
          <w:sz w:val="24"/>
          <w:szCs w:val="21"/>
          <w:highlight w:val="none"/>
        </w:rPr>
        <w:t>调整后的价格</w:t>
      </w:r>
      <w:r>
        <w:rPr>
          <w:rFonts w:hint="eastAsia" w:ascii="宋体" w:hAnsi="宋体"/>
          <w:bCs/>
          <w:color w:val="auto"/>
          <w:sz w:val="24"/>
          <w:szCs w:val="21"/>
          <w:highlight w:val="none"/>
          <w:lang w:eastAsia="zh-CN"/>
        </w:rPr>
        <w:t>对供应商</w:t>
      </w:r>
      <w:r>
        <w:rPr>
          <w:rFonts w:hint="eastAsia" w:ascii="宋体" w:hAnsi="宋体"/>
          <w:bCs/>
          <w:color w:val="auto"/>
          <w:sz w:val="24"/>
          <w:szCs w:val="21"/>
          <w:highlight w:val="none"/>
        </w:rPr>
        <w:t>具有约束力。如果</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不接受修正后的价格，则其投标将被拒绝。</w:t>
      </w:r>
    </w:p>
    <w:p w14:paraId="7E71F0DE">
      <w:pPr>
        <w:pageBreakBefore w:val="0"/>
        <w:widowControl w:val="0"/>
        <w:spacing w:line="360" w:lineRule="auto"/>
        <w:ind w:left="0" w:right="0" w:firstLine="480"/>
        <w:rPr>
          <w:rFonts w:ascii="宋体" w:hAnsi="宋体"/>
          <w:color w:val="auto"/>
          <w:sz w:val="24"/>
          <w:szCs w:val="21"/>
          <w:highlight w:val="none"/>
        </w:rPr>
      </w:pPr>
      <w:bookmarkStart w:id="199" w:name="_Toc16938550"/>
      <w:bookmarkStart w:id="200" w:name="_Toc20823306"/>
      <w:bookmarkStart w:id="201" w:name="_Toc513029234"/>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.6</w:t>
      </w:r>
      <w:r>
        <w:rPr>
          <w:rFonts w:ascii="宋体" w:hAnsi="宋体"/>
          <w:color w:val="auto"/>
          <w:sz w:val="24"/>
          <w:szCs w:val="21"/>
          <w:highlight w:val="none"/>
        </w:rPr>
        <w:t>使用综合评分法的采购项目，提供相同品牌产品且通过资格审查、符合性审查的不同</w:t>
      </w:r>
      <w:r>
        <w:rPr>
          <w:rFonts w:hint="eastAsia" w:ascii="宋体" w:hAnsi="宋体"/>
          <w:color w:val="auto"/>
          <w:sz w:val="24"/>
          <w:szCs w:val="21"/>
          <w:highlight w:val="none"/>
          <w:lang w:eastAsia="zh-CN"/>
        </w:rPr>
        <w:t>供应商</w:t>
      </w:r>
      <w:r>
        <w:rPr>
          <w:rFonts w:ascii="宋体" w:hAnsi="宋体"/>
          <w:color w:val="auto"/>
          <w:sz w:val="24"/>
          <w:szCs w:val="21"/>
          <w:highlight w:val="none"/>
        </w:rPr>
        <w:t>参加同一合同项下投标的，按一家</w:t>
      </w:r>
      <w:r>
        <w:rPr>
          <w:rFonts w:hint="eastAsia" w:ascii="宋体" w:hAnsi="宋体"/>
          <w:color w:val="auto"/>
          <w:sz w:val="24"/>
          <w:szCs w:val="21"/>
          <w:highlight w:val="none"/>
          <w:lang w:eastAsia="zh-CN"/>
        </w:rPr>
        <w:t>供应商</w:t>
      </w:r>
      <w:r>
        <w:rPr>
          <w:rFonts w:ascii="宋体" w:hAnsi="宋体"/>
          <w:color w:val="auto"/>
          <w:sz w:val="24"/>
          <w:szCs w:val="21"/>
          <w:highlight w:val="none"/>
        </w:rPr>
        <w:t>计算，评审后得分最高的同品牌</w:t>
      </w:r>
      <w:r>
        <w:rPr>
          <w:rFonts w:hint="eastAsia" w:ascii="宋体" w:hAnsi="宋体"/>
          <w:color w:val="auto"/>
          <w:sz w:val="24"/>
          <w:szCs w:val="21"/>
          <w:highlight w:val="none"/>
          <w:lang w:eastAsia="zh-CN"/>
        </w:rPr>
        <w:t>供应商</w:t>
      </w:r>
      <w:r>
        <w:rPr>
          <w:rFonts w:ascii="宋体" w:hAnsi="宋体"/>
          <w:color w:val="auto"/>
          <w:sz w:val="24"/>
          <w:szCs w:val="21"/>
          <w:highlight w:val="none"/>
        </w:rPr>
        <w:t>获得中标人推荐资格；评审得分相同的，由评标委员会</w:t>
      </w:r>
      <w:r>
        <w:rPr>
          <w:rFonts w:hint="eastAsia" w:ascii="宋体" w:hAnsi="宋体"/>
          <w:color w:val="auto"/>
          <w:sz w:val="24"/>
          <w:szCs w:val="21"/>
          <w:highlight w:val="none"/>
        </w:rPr>
        <w:t>根据招标文件规定的方式（招标文件未规定的采取随机抽取的方式）</w:t>
      </w:r>
      <w:r>
        <w:rPr>
          <w:rFonts w:ascii="宋体" w:hAnsi="宋体"/>
          <w:color w:val="auto"/>
          <w:sz w:val="24"/>
          <w:szCs w:val="21"/>
          <w:highlight w:val="none"/>
        </w:rPr>
        <w:t>确定</w:t>
      </w:r>
      <w:r>
        <w:rPr>
          <w:rFonts w:hint="eastAsia" w:ascii="宋体" w:hAnsi="宋体"/>
          <w:color w:val="auto"/>
          <w:sz w:val="24"/>
          <w:szCs w:val="21"/>
          <w:highlight w:val="none"/>
        </w:rPr>
        <w:t>一个中标候选人</w:t>
      </w:r>
      <w:r>
        <w:rPr>
          <w:rFonts w:ascii="宋体" w:hAnsi="宋体"/>
          <w:color w:val="auto"/>
          <w:sz w:val="24"/>
          <w:szCs w:val="21"/>
          <w:highlight w:val="none"/>
        </w:rPr>
        <w:t>，其他同品牌</w:t>
      </w:r>
      <w:r>
        <w:rPr>
          <w:rFonts w:hint="eastAsia" w:ascii="宋体" w:hAnsi="宋体"/>
          <w:color w:val="auto"/>
          <w:sz w:val="24"/>
          <w:szCs w:val="21"/>
          <w:highlight w:val="none"/>
          <w:lang w:eastAsia="zh-CN"/>
        </w:rPr>
        <w:t>供应商</w:t>
      </w:r>
      <w:r>
        <w:rPr>
          <w:rFonts w:ascii="宋体" w:hAnsi="宋体"/>
          <w:color w:val="auto"/>
          <w:sz w:val="24"/>
          <w:szCs w:val="21"/>
          <w:highlight w:val="none"/>
        </w:rPr>
        <w:t>不作为中标候选人。</w:t>
      </w:r>
    </w:p>
    <w:p w14:paraId="7A46192A">
      <w:pPr>
        <w:pageBreakBefore w:val="0"/>
        <w:widowControl w:val="0"/>
        <w:spacing w:line="360" w:lineRule="auto"/>
        <w:ind w:left="0" w:right="0" w:firstLine="420"/>
        <w:rPr>
          <w:rFonts w:hint="eastAsia" w:ascii="宋体" w:hAnsi="宋体"/>
          <w:color w:val="auto"/>
          <w:sz w:val="24"/>
          <w:szCs w:val="21"/>
          <w:highlight w:val="none"/>
        </w:rPr>
      </w:pPr>
      <w:r>
        <w:rPr>
          <w:rFonts w:ascii="宋体" w:hAnsi="宋体"/>
          <w:color w:val="auto"/>
          <w:sz w:val="24"/>
          <w:szCs w:val="21"/>
          <w:highlight w:val="none"/>
        </w:rPr>
        <w:t>非单一产品采购项目，招标文件中</w:t>
      </w:r>
      <w:r>
        <w:rPr>
          <w:rFonts w:hint="eastAsia" w:ascii="宋体" w:hAnsi="宋体"/>
          <w:color w:val="auto"/>
          <w:sz w:val="24"/>
          <w:szCs w:val="21"/>
          <w:highlight w:val="none"/>
        </w:rPr>
        <w:t>将载明其中的核心产品</w:t>
      </w:r>
      <w:r>
        <w:rPr>
          <w:rFonts w:ascii="宋体" w:hAnsi="宋体"/>
          <w:color w:val="auto"/>
          <w:sz w:val="24"/>
          <w:szCs w:val="21"/>
          <w:highlight w:val="none"/>
        </w:rPr>
        <w:t>。多家</w:t>
      </w:r>
      <w:r>
        <w:rPr>
          <w:rFonts w:hint="eastAsia" w:ascii="宋体" w:hAnsi="宋体"/>
          <w:color w:val="auto"/>
          <w:sz w:val="24"/>
          <w:szCs w:val="21"/>
          <w:highlight w:val="none"/>
          <w:lang w:eastAsia="zh-CN"/>
        </w:rPr>
        <w:t>供应商</w:t>
      </w:r>
      <w:r>
        <w:rPr>
          <w:rFonts w:ascii="宋体" w:hAnsi="宋体"/>
          <w:color w:val="auto"/>
          <w:sz w:val="24"/>
          <w:szCs w:val="21"/>
          <w:highlight w:val="none"/>
        </w:rPr>
        <w:t>提供的核心产品品牌相同的，按前两款规定处理。</w:t>
      </w:r>
    </w:p>
    <w:p w14:paraId="7D45670E">
      <w:pPr>
        <w:pageBreakBefore w:val="0"/>
        <w:widowControl w:val="0"/>
        <w:spacing w:line="360" w:lineRule="auto"/>
        <w:ind w:left="0" w:right="0" w:firstLine="42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w:t>
      </w:r>
      <w:r>
        <w:rPr>
          <w:rFonts w:hint="eastAsia" w:ascii="宋体" w:hAnsi="宋体"/>
          <w:color w:val="auto"/>
          <w:sz w:val="24"/>
          <w:szCs w:val="21"/>
          <w:highlight w:val="none"/>
          <w:lang w:eastAsia="zh-CN"/>
        </w:rPr>
        <w:t>供应商</w:t>
      </w:r>
      <w:r>
        <w:rPr>
          <w:rFonts w:hint="eastAsia" w:ascii="宋体" w:hAnsi="宋体"/>
          <w:color w:val="auto"/>
          <w:sz w:val="24"/>
          <w:szCs w:val="21"/>
          <w:highlight w:val="none"/>
        </w:rPr>
        <w:t>在开、评标全过程中应</w:t>
      </w:r>
      <w:r>
        <w:rPr>
          <w:rFonts w:hint="eastAsia" w:ascii="宋体" w:hAnsi="宋体"/>
          <w:color w:val="auto"/>
          <w:sz w:val="24"/>
          <w:szCs w:val="21"/>
          <w:highlight w:val="none"/>
          <w:lang w:eastAsia="zh-CN"/>
        </w:rPr>
        <w:t>保持通信畅通</w:t>
      </w:r>
      <w:r>
        <w:rPr>
          <w:rFonts w:hint="eastAsia" w:ascii="宋体" w:hAnsi="宋体"/>
          <w:color w:val="auto"/>
          <w:sz w:val="24"/>
          <w:szCs w:val="21"/>
          <w:highlight w:val="none"/>
        </w:rPr>
        <w:t>，及时登录</w:t>
      </w:r>
      <w:r>
        <w:rPr>
          <w:rFonts w:hint="eastAsia" w:ascii="宋体" w:hAnsi="宋体"/>
          <w:color w:val="auto"/>
          <w:sz w:val="24"/>
          <w:szCs w:val="24"/>
          <w:highlight w:val="none"/>
        </w:rPr>
        <w:t>苏采云系统</w:t>
      </w:r>
      <w:r>
        <w:rPr>
          <w:rFonts w:hint="eastAsia" w:ascii="宋体" w:hAnsi="宋体"/>
          <w:color w:val="auto"/>
          <w:sz w:val="24"/>
          <w:szCs w:val="21"/>
          <w:highlight w:val="none"/>
        </w:rPr>
        <w:t>查阅</w:t>
      </w:r>
      <w:r>
        <w:rPr>
          <w:rFonts w:ascii="宋体" w:hAnsi="宋体"/>
          <w:color w:val="auto"/>
          <w:sz w:val="24"/>
          <w:szCs w:val="21"/>
          <w:highlight w:val="none"/>
        </w:rPr>
        <w:t>、答复相关</w:t>
      </w:r>
      <w:r>
        <w:rPr>
          <w:rFonts w:hint="eastAsia" w:ascii="宋体" w:hAnsi="宋体"/>
          <w:color w:val="auto"/>
          <w:sz w:val="24"/>
          <w:szCs w:val="21"/>
          <w:highlight w:val="none"/>
        </w:rPr>
        <w:t>信息</w:t>
      </w:r>
      <w:r>
        <w:rPr>
          <w:rFonts w:ascii="宋体" w:hAnsi="宋体"/>
          <w:color w:val="auto"/>
          <w:sz w:val="24"/>
          <w:szCs w:val="21"/>
          <w:highlight w:val="none"/>
        </w:rPr>
        <w:t>，</w:t>
      </w:r>
      <w:r>
        <w:rPr>
          <w:rFonts w:hint="eastAsia" w:ascii="宋体" w:hAnsi="宋体"/>
          <w:color w:val="auto"/>
          <w:sz w:val="24"/>
          <w:szCs w:val="21"/>
          <w:highlight w:val="none"/>
        </w:rPr>
        <w:t>并安排专人与采购</w:t>
      </w:r>
      <w:r>
        <w:rPr>
          <w:rFonts w:hint="eastAsia" w:ascii="宋体" w:hAnsi="宋体"/>
          <w:color w:val="auto"/>
          <w:sz w:val="24"/>
          <w:szCs w:val="21"/>
          <w:highlight w:val="none"/>
          <w:lang w:val="en-US" w:eastAsia="zh-CN"/>
        </w:rPr>
        <w:t>人、采购代理机构</w:t>
      </w:r>
      <w:r>
        <w:rPr>
          <w:rFonts w:hint="eastAsia" w:ascii="宋体" w:hAnsi="宋体"/>
          <w:color w:val="auto"/>
          <w:sz w:val="24"/>
          <w:szCs w:val="21"/>
          <w:highlight w:val="none"/>
        </w:rPr>
        <w:t>及评标委员会联系。</w:t>
      </w:r>
    </w:p>
    <w:p w14:paraId="4B68400D">
      <w:pPr>
        <w:keepNext/>
        <w:keepLines/>
        <w:pageBreakBefore w:val="0"/>
        <w:widowControl w:val="0"/>
        <w:spacing w:line="360" w:lineRule="auto"/>
        <w:ind w:left="0" w:right="0"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7</w:t>
      </w:r>
      <w:r>
        <w:rPr>
          <w:rFonts w:hint="eastAsia" w:ascii="Arial" w:hAnsi="Arial" w:eastAsia="黑体" w:cs="Arial"/>
          <w:color w:val="auto"/>
          <w:sz w:val="28"/>
          <w:szCs w:val="28"/>
          <w:highlight w:val="none"/>
        </w:rPr>
        <w:t>、</w:t>
      </w:r>
      <w:bookmarkEnd w:id="199"/>
      <w:bookmarkEnd w:id="200"/>
      <w:bookmarkEnd w:id="201"/>
      <w:r>
        <w:rPr>
          <w:rFonts w:hint="eastAsia" w:ascii="Arial" w:hAnsi="Arial" w:eastAsia="黑体" w:cs="Arial"/>
          <w:color w:val="auto"/>
          <w:sz w:val="28"/>
          <w:szCs w:val="28"/>
          <w:highlight w:val="none"/>
        </w:rPr>
        <w:t>无效投标条款和废标条款</w:t>
      </w:r>
    </w:p>
    <w:p w14:paraId="51BBFC01">
      <w:pPr>
        <w:pageBreakBefore w:val="0"/>
        <w:widowControl w:val="0"/>
        <w:spacing w:line="360" w:lineRule="auto"/>
        <w:ind w:left="0" w:right="0" w:firstLine="480" w:firstLineChars="200"/>
        <w:rPr>
          <w:rFonts w:hint="eastAsia" w:ascii="宋体" w:hAnsi="宋体"/>
          <w:bCs/>
          <w:color w:val="auto"/>
          <w:sz w:val="24"/>
          <w:szCs w:val="21"/>
          <w:highlight w:val="none"/>
        </w:rPr>
      </w:pPr>
      <w:bookmarkStart w:id="202" w:name="_Toc20823307"/>
      <w:bookmarkStart w:id="203" w:name="_Toc16938551"/>
      <w:bookmarkStart w:id="204" w:name="_Toc513029235"/>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.1无效投标条款</w:t>
      </w:r>
    </w:p>
    <w:p w14:paraId="52B4B772">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 xml:space="preserve">.1.1 </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规定的时间内未成功解密电子投标文件的。</w:t>
      </w:r>
    </w:p>
    <w:p w14:paraId="63066D5A">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未按照招标文件要求上传电子投标文件的。</w:t>
      </w:r>
    </w:p>
    <w:p w14:paraId="54792A87">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3</w:t>
      </w:r>
      <w:r>
        <w:rPr>
          <w:rFonts w:hint="eastAsia" w:ascii="宋体" w:hAnsi="宋体"/>
          <w:bCs/>
          <w:color w:val="auto"/>
          <w:sz w:val="24"/>
          <w:szCs w:val="21"/>
          <w:highlight w:val="none"/>
        </w:rPr>
        <w:t>同一</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提交两个</w:t>
      </w:r>
      <w:r>
        <w:rPr>
          <w:rFonts w:ascii="宋体" w:hAnsi="宋体"/>
          <w:bCs/>
          <w:color w:val="auto"/>
          <w:sz w:val="24"/>
          <w:szCs w:val="21"/>
          <w:highlight w:val="none"/>
        </w:rPr>
        <w:t>（</w:t>
      </w:r>
      <w:r>
        <w:rPr>
          <w:rFonts w:hint="eastAsia" w:ascii="宋体" w:hAnsi="宋体"/>
          <w:bCs/>
          <w:color w:val="auto"/>
          <w:sz w:val="24"/>
          <w:szCs w:val="21"/>
          <w:highlight w:val="none"/>
        </w:rPr>
        <w:t>含</w:t>
      </w:r>
      <w:r>
        <w:rPr>
          <w:rFonts w:ascii="宋体" w:hAnsi="宋体"/>
          <w:bCs/>
          <w:color w:val="auto"/>
          <w:sz w:val="24"/>
          <w:szCs w:val="21"/>
          <w:highlight w:val="none"/>
        </w:rPr>
        <w:t>两个）</w:t>
      </w:r>
      <w:r>
        <w:rPr>
          <w:rFonts w:hint="eastAsia" w:ascii="宋体" w:hAnsi="宋体"/>
          <w:bCs/>
          <w:color w:val="auto"/>
          <w:sz w:val="24"/>
          <w:szCs w:val="21"/>
          <w:highlight w:val="none"/>
        </w:rPr>
        <w:t>以上不同的</w:t>
      </w:r>
      <w:r>
        <w:rPr>
          <w:rFonts w:ascii="宋体" w:hAnsi="宋体"/>
          <w:bCs/>
          <w:color w:val="auto"/>
          <w:sz w:val="24"/>
          <w:szCs w:val="21"/>
          <w:highlight w:val="none"/>
        </w:rPr>
        <w:t>投标报价的。</w:t>
      </w:r>
    </w:p>
    <w:p w14:paraId="1BF47403">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4</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不具备招标文件中规定资格要求的。</w:t>
      </w:r>
    </w:p>
    <w:p w14:paraId="7CB2791D">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5</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的报价超过了采购预算或最高限价的。</w:t>
      </w:r>
    </w:p>
    <w:p w14:paraId="472B6A58">
      <w:pPr>
        <w:pageBreakBefore w:val="0"/>
        <w:widowControl w:val="0"/>
        <w:spacing w:line="360" w:lineRule="auto"/>
        <w:ind w:left="0" w:right="0" w:firstLine="480"/>
        <w:rPr>
          <w:rFonts w:hint="eastAsia" w:ascii="宋体" w:hAnsi="宋体"/>
          <w:bCs/>
          <w:i/>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6</w:t>
      </w:r>
      <w:r>
        <w:rPr>
          <w:rFonts w:hint="eastAsia" w:ascii="宋体" w:hAnsi="宋体"/>
          <w:bCs/>
          <w:color w:val="auto"/>
          <w:sz w:val="24"/>
          <w:szCs w:val="21"/>
          <w:highlight w:val="none"/>
        </w:rPr>
        <w:t>未通过符合性审查的。</w:t>
      </w:r>
    </w:p>
    <w:p w14:paraId="1D644BCB">
      <w:pPr>
        <w:pageBreakBefore w:val="0"/>
        <w:widowControl w:val="0"/>
        <w:spacing w:line="360" w:lineRule="auto"/>
        <w:ind w:left="0" w:right="0" w:firstLine="360"/>
        <w:rPr>
          <w:rFonts w:hint="eastAsia" w:ascii="宋体" w:hAnsi="宋体" w:eastAsia="宋体"/>
          <w:b/>
          <w:bCs w:val="0"/>
          <w:i w:val="0"/>
          <w:iCs w:val="0"/>
          <w:color w:val="auto"/>
          <w:sz w:val="24"/>
          <w:szCs w:val="21"/>
          <w:highlight w:val="none"/>
          <w:u w:val="single"/>
          <w:lang w:eastAsia="zh-CN"/>
        </w:rPr>
      </w:pPr>
      <w:r>
        <w:rPr>
          <w:rFonts w:hint="eastAsia" w:ascii="宋体" w:hAnsi="宋体"/>
          <w:bCs/>
          <w:color w:val="auto"/>
          <w:sz w:val="24"/>
          <w:szCs w:val="21"/>
          <w:highlight w:val="none"/>
        </w:rPr>
        <w:t xml:space="preserve"> 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7</w:t>
      </w:r>
      <w:r>
        <w:rPr>
          <w:rFonts w:hint="eastAsia" w:ascii="宋体" w:hAnsi="宋体"/>
          <w:bCs/>
          <w:color w:val="auto"/>
          <w:sz w:val="24"/>
          <w:szCs w:val="21"/>
          <w:highlight w:val="none"/>
        </w:rPr>
        <w:t>不符合招标文件中规定的实质性要求和条件的</w:t>
      </w:r>
      <w:r>
        <w:rPr>
          <w:rFonts w:hint="eastAsia" w:ascii="宋体" w:hAnsi="宋体"/>
          <w:bCs/>
          <w:color w:val="auto"/>
          <w:sz w:val="24"/>
          <w:szCs w:val="21"/>
          <w:highlight w:val="none"/>
          <w:lang w:eastAsia="zh-CN"/>
        </w:rPr>
        <w:t>。</w:t>
      </w:r>
    </w:p>
    <w:p w14:paraId="17C874DD">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8</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被 “信用中国”网站（www.creditchina.gov.cn）</w:t>
      </w:r>
      <w:r>
        <w:rPr>
          <w:rFonts w:hint="eastAsia" w:ascii="宋体" w:hAnsi="宋体"/>
          <w:bCs/>
          <w:color w:val="auto"/>
          <w:sz w:val="24"/>
          <w:szCs w:val="21"/>
          <w:highlight w:val="none"/>
          <w:lang w:eastAsia="zh-CN"/>
        </w:rPr>
        <w:t>、</w:t>
      </w:r>
      <w:r>
        <w:rPr>
          <w:rFonts w:hint="eastAsia" w:ascii="宋体" w:hAnsi="宋体"/>
          <w:color w:val="auto"/>
          <w:sz w:val="24"/>
          <w:szCs w:val="24"/>
          <w:highlight w:val="none"/>
        </w:rPr>
        <w:t>中国政府采购网（www.ccgp.gov.cn）</w:t>
      </w:r>
      <w:r>
        <w:rPr>
          <w:rFonts w:hint="eastAsia" w:ascii="宋体" w:hAnsi="宋体"/>
          <w:bCs/>
          <w:color w:val="auto"/>
          <w:sz w:val="24"/>
          <w:szCs w:val="21"/>
          <w:highlight w:val="none"/>
        </w:rPr>
        <w:t>列入失信被执行人或重大税收违法案件当事人名单或政府采购严重失信行为记录名单。或查询“信用中国”网站后发现</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存在其他不符合《中华人民共和国政府采购法》第二十二条规定条件的信用记录。</w:t>
      </w:r>
    </w:p>
    <w:p w14:paraId="41E58514">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9</w:t>
      </w:r>
      <w:r>
        <w:rPr>
          <w:rFonts w:hint="eastAsia" w:ascii="宋体" w:hAnsi="宋体"/>
          <w:bCs/>
          <w:color w:val="auto"/>
          <w:sz w:val="24"/>
          <w:szCs w:val="21"/>
          <w:highlight w:val="none"/>
        </w:rPr>
        <w:t xml:space="preserve">  投标文件含有采购人不能接受的附加条件的。</w:t>
      </w:r>
    </w:p>
    <w:p w14:paraId="213A08D4">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rPr>
        <w:t>评标委员会认为</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的报价明显低于其他通过符合性审查</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的报价，有可能影响产品质量或者不能诚信履约的，将通过</w:t>
      </w:r>
      <w:r>
        <w:rPr>
          <w:rFonts w:hint="eastAsia" w:ascii="宋体" w:hAnsi="宋体"/>
          <w:color w:val="auto"/>
          <w:sz w:val="24"/>
          <w:szCs w:val="24"/>
          <w:highlight w:val="none"/>
        </w:rPr>
        <w:t>苏采云系统</w:t>
      </w:r>
      <w:r>
        <w:rPr>
          <w:rFonts w:hint="eastAsia" w:ascii="宋体" w:hAnsi="宋体"/>
          <w:bCs/>
          <w:color w:val="auto"/>
          <w:sz w:val="24"/>
          <w:szCs w:val="21"/>
          <w:highlight w:val="none"/>
        </w:rPr>
        <w:t>要求其在合理的时间内提供说明，必要时提交相关证明材料；</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不能证明其报价合理性的，评标委员会应当将其作为无效投标处理。</w:t>
      </w:r>
    </w:p>
    <w:p w14:paraId="24723CDB">
      <w:pPr>
        <w:pageBreakBefore w:val="0"/>
        <w:widowControl w:val="0"/>
        <w:spacing w:line="360" w:lineRule="auto"/>
        <w:ind w:left="0" w:right="0" w:firstLine="480"/>
        <w:rPr>
          <w:rFonts w:hint="default" w:ascii="宋体" w:hAnsi="宋体" w:eastAsia="宋体"/>
          <w:bCs/>
          <w:color w:val="auto"/>
          <w:sz w:val="24"/>
          <w:szCs w:val="21"/>
          <w:highlight w:val="none"/>
          <w:lang w:val="en-US" w:eastAsia="zh-CN"/>
        </w:rPr>
      </w:pPr>
      <w:r>
        <w:rPr>
          <w:rFonts w:hint="eastAsia" w:ascii="宋体" w:hAnsi="宋体"/>
          <w:bCs/>
          <w:color w:val="auto"/>
          <w:sz w:val="24"/>
          <w:szCs w:val="21"/>
          <w:highlight w:val="none"/>
          <w:lang w:val="en-US" w:eastAsia="zh-CN"/>
        </w:rPr>
        <w:t>评审过程中出现下列情形之一的，评审委员会应当启动异常低价投标（响应）审查程序：</w:t>
      </w:r>
    </w:p>
    <w:p w14:paraId="2CF131D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①投标（响应）报价低于采购项目预算50%的，即投标（响应）报价&lt;采购项目预算×50%；</w:t>
      </w:r>
    </w:p>
    <w:p w14:paraId="2F43D49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②投标（响应）报价低于采购项目最高限价45%的，即投标（响应）报价&lt;采购项目最高限价×45%；</w:t>
      </w:r>
    </w:p>
    <w:p w14:paraId="2443112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③评审委员会认定的供应商报价过低、有可能影响产品质量或者不能诚信履约的其他情形。</w:t>
      </w:r>
    </w:p>
    <w:p w14:paraId="53F0C818">
      <w:pPr>
        <w:spacing w:line="360" w:lineRule="auto"/>
        <w:ind w:firstLine="480" w:firstLineChars="200"/>
        <w:jc w:val="left"/>
        <w:rPr>
          <w:rFonts w:hint="eastAsia" w:ascii="宋体" w:hAnsi="宋体"/>
          <w:bCs/>
          <w:color w:val="auto"/>
          <w:sz w:val="24"/>
          <w:szCs w:val="21"/>
          <w:highlight w:val="none"/>
        </w:rPr>
      </w:pPr>
      <w:r>
        <w:rPr>
          <w:rFonts w:hint="eastAsia" w:ascii="宋体" w:hAnsi="宋体" w:eastAsia="宋体" w:cs="宋体"/>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p>
    <w:p w14:paraId="474F5A77">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1</w:t>
      </w:r>
      <w:r>
        <w:rPr>
          <w:rFonts w:hint="eastAsia" w:ascii="宋体" w:hAnsi="宋体"/>
          <w:bCs/>
          <w:color w:val="auto"/>
          <w:sz w:val="24"/>
          <w:szCs w:val="21"/>
          <w:highlight w:val="none"/>
        </w:rPr>
        <w:t xml:space="preserve"> 本项目采购产品被财政部、</w:t>
      </w:r>
      <w:r>
        <w:rPr>
          <w:rFonts w:hint="eastAsia" w:ascii="宋体" w:hAnsi="宋体"/>
          <w:bCs/>
          <w:color w:val="auto"/>
          <w:sz w:val="24"/>
          <w:szCs w:val="21"/>
          <w:highlight w:val="none"/>
          <w:lang w:eastAsia="zh-CN"/>
        </w:rPr>
        <w:t>国家发展改革委</w:t>
      </w:r>
      <w:r>
        <w:rPr>
          <w:rFonts w:hint="eastAsia" w:ascii="宋体" w:hAnsi="宋体"/>
          <w:bCs/>
          <w:color w:val="auto"/>
          <w:sz w:val="24"/>
          <w:szCs w:val="21"/>
          <w:highlight w:val="none"/>
        </w:rPr>
        <w:t>、生态环境部等列入“节能产品品目清单</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环境标志产品品目清单”强制采购范围，而</w:t>
      </w:r>
      <w:r>
        <w:rPr>
          <w:rFonts w:hint="eastAsia" w:ascii="宋体" w:hAnsi="宋体"/>
          <w:bCs/>
          <w:color w:val="auto"/>
          <w:sz w:val="24"/>
          <w:szCs w:val="21"/>
          <w:highlight w:val="none"/>
          <w:lang w:eastAsia="zh-CN"/>
        </w:rPr>
        <w:t>供应商</w:t>
      </w:r>
      <w:r>
        <w:rPr>
          <w:rFonts w:hint="eastAsia" w:ascii="宋体" w:hAnsi="宋体"/>
          <w:bCs/>
          <w:color w:val="auto"/>
          <w:sz w:val="24"/>
          <w:szCs w:val="21"/>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2763E37F">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2</w:t>
      </w:r>
      <w:r>
        <w:rPr>
          <w:rFonts w:hint="eastAsia" w:ascii="宋体" w:hAnsi="宋体"/>
          <w:bCs/>
          <w:color w:val="auto"/>
          <w:sz w:val="24"/>
          <w:szCs w:val="21"/>
          <w:highlight w:val="none"/>
        </w:rPr>
        <w:t xml:space="preserve"> 投标文件未按照招标文件要求加盖CA电子公章的。</w:t>
      </w:r>
    </w:p>
    <w:p w14:paraId="6094E7B9">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3</w:t>
      </w:r>
      <w:r>
        <w:rPr>
          <w:rFonts w:hint="eastAsia" w:ascii="宋体" w:hAnsi="宋体"/>
          <w:bCs/>
          <w:color w:val="auto"/>
          <w:sz w:val="24"/>
          <w:szCs w:val="21"/>
          <w:highlight w:val="none"/>
        </w:rPr>
        <w:t>其他法律、法规及本招标文件规定的属无效投标的情形。</w:t>
      </w:r>
    </w:p>
    <w:p w14:paraId="033F3C1D">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27.2废标条款</w:t>
      </w:r>
    </w:p>
    <w:p w14:paraId="08D94884">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27.2.1符合专业条件的</w:t>
      </w:r>
      <w:r>
        <w:rPr>
          <w:rFonts w:hint="eastAsia" w:ascii="宋体" w:hAnsi="宋体" w:cs="Times New Roman"/>
          <w:bCs/>
          <w:color w:val="auto"/>
          <w:sz w:val="24"/>
          <w:szCs w:val="21"/>
          <w:highlight w:val="none"/>
          <w:lang w:eastAsia="zh-CN"/>
        </w:rPr>
        <w:t>供应商</w:t>
      </w:r>
      <w:r>
        <w:rPr>
          <w:rFonts w:hint="eastAsia" w:ascii="宋体" w:hAnsi="宋体" w:eastAsia="宋体" w:cs="Times New Roman"/>
          <w:bCs/>
          <w:color w:val="auto"/>
          <w:sz w:val="24"/>
          <w:szCs w:val="21"/>
          <w:highlight w:val="none"/>
        </w:rPr>
        <w:t>或者对招标文件作实质响应的</w:t>
      </w:r>
      <w:r>
        <w:rPr>
          <w:rFonts w:hint="eastAsia" w:ascii="宋体" w:hAnsi="宋体" w:cs="Times New Roman"/>
          <w:bCs/>
          <w:color w:val="auto"/>
          <w:sz w:val="24"/>
          <w:szCs w:val="21"/>
          <w:highlight w:val="none"/>
          <w:lang w:eastAsia="zh-CN"/>
        </w:rPr>
        <w:t>供应商</w:t>
      </w:r>
      <w:r>
        <w:rPr>
          <w:rFonts w:hint="eastAsia" w:ascii="宋体" w:hAnsi="宋体" w:eastAsia="宋体" w:cs="Times New Roman"/>
          <w:bCs/>
          <w:color w:val="auto"/>
          <w:sz w:val="24"/>
          <w:szCs w:val="21"/>
          <w:highlight w:val="none"/>
        </w:rPr>
        <w:t>不足三家的。</w:t>
      </w:r>
    </w:p>
    <w:p w14:paraId="698BDCF3">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27.2.2出现影响采购公正的违法、违规行为的。</w:t>
      </w:r>
    </w:p>
    <w:p w14:paraId="6D667B2A">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27.2.3因重大变故，采购任务取消的。</w:t>
      </w:r>
    </w:p>
    <w:p w14:paraId="66329773">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27.2.4评标委员会认定招标文件存在歧义、重大缺陷导致评审工作无法进行。</w:t>
      </w:r>
    </w:p>
    <w:p w14:paraId="286FA542">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27.2.5 因苏采云</w:t>
      </w:r>
      <w:r>
        <w:rPr>
          <w:rFonts w:hint="eastAsia" w:ascii="宋体" w:hAnsi="宋体" w:cs="Times New Roman"/>
          <w:bCs/>
          <w:color w:val="auto"/>
          <w:sz w:val="24"/>
          <w:szCs w:val="21"/>
          <w:highlight w:val="none"/>
          <w:lang w:eastAsia="zh-CN"/>
        </w:rPr>
        <w:t>系统故障</w:t>
      </w:r>
      <w:r>
        <w:rPr>
          <w:rFonts w:hint="eastAsia" w:ascii="宋体" w:hAnsi="宋体" w:eastAsia="宋体" w:cs="Times New Roman"/>
          <w:bCs/>
          <w:color w:val="auto"/>
          <w:sz w:val="24"/>
          <w:szCs w:val="21"/>
          <w:highlight w:val="none"/>
        </w:rPr>
        <w:t>原因造成开标不成功的。</w:t>
      </w:r>
    </w:p>
    <w:p w14:paraId="7FD3F3F4">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27.3 投标截止时间结束后参加投标的</w:t>
      </w:r>
      <w:r>
        <w:rPr>
          <w:rFonts w:hint="eastAsia" w:ascii="宋体" w:hAnsi="宋体" w:cs="Times New Roman"/>
          <w:bCs/>
          <w:color w:val="auto"/>
          <w:sz w:val="24"/>
          <w:szCs w:val="21"/>
          <w:highlight w:val="none"/>
          <w:lang w:eastAsia="zh-CN"/>
        </w:rPr>
        <w:t>供应商</w:t>
      </w:r>
      <w:r>
        <w:rPr>
          <w:rFonts w:hint="eastAsia" w:ascii="宋体" w:hAnsi="宋体" w:eastAsia="宋体" w:cs="Times New Roman"/>
          <w:bCs/>
          <w:color w:val="auto"/>
          <w:sz w:val="24"/>
          <w:szCs w:val="21"/>
          <w:highlight w:val="none"/>
        </w:rPr>
        <w:t>不足三家的处理：</w:t>
      </w:r>
    </w:p>
    <w:p w14:paraId="416512D8">
      <w:pPr>
        <w:pageBreakBefore w:val="0"/>
        <w:widowControl w:val="0"/>
        <w:spacing w:line="360" w:lineRule="auto"/>
        <w:ind w:left="0" w:right="0"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27.3.1如出现投标截止时间结束后参加投标的</w:t>
      </w:r>
      <w:r>
        <w:rPr>
          <w:rFonts w:hint="eastAsia" w:ascii="宋体" w:hAnsi="宋体" w:cs="Times New Roman"/>
          <w:bCs/>
          <w:color w:val="auto"/>
          <w:sz w:val="24"/>
          <w:szCs w:val="21"/>
          <w:highlight w:val="none"/>
          <w:lang w:eastAsia="zh-CN"/>
        </w:rPr>
        <w:t>供应商</w:t>
      </w:r>
      <w:r>
        <w:rPr>
          <w:rFonts w:hint="eastAsia" w:ascii="宋体" w:hAnsi="宋体" w:eastAsia="宋体" w:cs="Times New Roman"/>
          <w:bCs/>
          <w:color w:val="auto"/>
          <w:sz w:val="24"/>
          <w:szCs w:val="21"/>
          <w:highlight w:val="none"/>
        </w:rPr>
        <w:t>或者在评标期间对招标文件做出实质响应的</w:t>
      </w:r>
      <w:r>
        <w:rPr>
          <w:rFonts w:hint="eastAsia" w:ascii="宋体" w:hAnsi="宋体" w:cs="Times New Roman"/>
          <w:bCs/>
          <w:color w:val="auto"/>
          <w:sz w:val="24"/>
          <w:szCs w:val="21"/>
          <w:highlight w:val="none"/>
          <w:lang w:eastAsia="zh-CN"/>
        </w:rPr>
        <w:t>供应商</w:t>
      </w:r>
      <w:r>
        <w:rPr>
          <w:rFonts w:hint="eastAsia" w:ascii="宋体" w:hAnsi="宋体" w:eastAsia="宋体" w:cs="Times New Roman"/>
          <w:bCs/>
          <w:color w:val="auto"/>
          <w:sz w:val="24"/>
          <w:szCs w:val="21"/>
          <w:highlight w:val="none"/>
        </w:rPr>
        <w:t>不足三家情况，按政府采购相关规定执行。</w:t>
      </w:r>
    </w:p>
    <w:p w14:paraId="57D8123E">
      <w:pPr>
        <w:keepNext/>
        <w:keepLines/>
        <w:pageBreakBefore w:val="0"/>
        <w:widowControl w:val="0"/>
        <w:spacing w:line="360" w:lineRule="auto"/>
        <w:ind w:left="0" w:right="0" w:firstLine="482"/>
        <w:outlineLvl w:val="2"/>
        <w:rPr>
          <w:rFonts w:hint="eastAsia" w:ascii="Times New Roman" w:hAnsi="Times New Roman"/>
          <w:b/>
          <w:bCs/>
          <w:color w:val="auto"/>
          <w:sz w:val="32"/>
          <w:szCs w:val="32"/>
          <w:highlight w:val="none"/>
        </w:rPr>
      </w:pPr>
      <w:bookmarkStart w:id="205" w:name="_Toc2053"/>
      <w:bookmarkStart w:id="206" w:name="_Toc518"/>
      <w:bookmarkStart w:id="207" w:name="_Toc12475"/>
      <w:bookmarkStart w:id="208" w:name="_Toc120614219"/>
      <w:bookmarkStart w:id="209" w:name="_Toc23694"/>
      <w:r>
        <w:rPr>
          <w:rFonts w:hint="eastAsia" w:ascii="Times New Roman" w:hAnsi="Times New Roman"/>
          <w:b/>
          <w:bCs/>
          <w:color w:val="auto"/>
          <w:sz w:val="32"/>
          <w:szCs w:val="32"/>
          <w:highlight w:val="none"/>
        </w:rPr>
        <w:t>六、</w:t>
      </w:r>
      <w:bookmarkEnd w:id="202"/>
      <w:bookmarkEnd w:id="203"/>
      <w:bookmarkEnd w:id="204"/>
      <w:r>
        <w:rPr>
          <w:rFonts w:hint="eastAsia" w:ascii="Times New Roman" w:hAnsi="Times New Roman"/>
          <w:b/>
          <w:bCs/>
          <w:color w:val="auto"/>
          <w:sz w:val="32"/>
          <w:szCs w:val="32"/>
          <w:highlight w:val="none"/>
        </w:rPr>
        <w:t>定标</w:t>
      </w:r>
      <w:bookmarkEnd w:id="205"/>
      <w:bookmarkEnd w:id="206"/>
      <w:bookmarkEnd w:id="207"/>
      <w:bookmarkEnd w:id="208"/>
      <w:bookmarkEnd w:id="209"/>
    </w:p>
    <w:p w14:paraId="6EB39BDB">
      <w:pPr>
        <w:keepNext/>
        <w:keepLines/>
        <w:pageBreakBefore w:val="0"/>
        <w:widowControl w:val="0"/>
        <w:spacing w:line="360" w:lineRule="auto"/>
        <w:ind w:left="0" w:right="0" w:firstLine="600"/>
        <w:outlineLvl w:val="3"/>
        <w:rPr>
          <w:rFonts w:hint="eastAsia" w:ascii="黑体" w:hAnsi="宋体" w:eastAsia="黑体"/>
          <w:bCs/>
          <w:color w:val="auto"/>
          <w:sz w:val="30"/>
          <w:szCs w:val="30"/>
          <w:highlight w:val="none"/>
        </w:rPr>
      </w:pPr>
      <w:bookmarkStart w:id="210" w:name="_Toc513029238"/>
      <w:bookmarkStart w:id="211" w:name="_Toc16938554"/>
      <w:bookmarkStart w:id="212" w:name="_Toc20823310"/>
      <w:r>
        <w:rPr>
          <w:rFonts w:hint="eastAsia" w:ascii="黑体" w:hAnsi="宋体" w:eastAsia="黑体"/>
          <w:bCs/>
          <w:color w:val="auto"/>
          <w:sz w:val="30"/>
          <w:szCs w:val="30"/>
          <w:highlight w:val="none"/>
        </w:rPr>
        <w:t>2</w:t>
      </w:r>
      <w:r>
        <w:rPr>
          <w:rFonts w:ascii="黑体" w:hAnsi="宋体" w:eastAsia="黑体"/>
          <w:bCs/>
          <w:color w:val="auto"/>
          <w:sz w:val="30"/>
          <w:szCs w:val="30"/>
          <w:highlight w:val="none"/>
        </w:rPr>
        <w:t>8</w:t>
      </w:r>
      <w:r>
        <w:rPr>
          <w:rFonts w:hint="eastAsia" w:ascii="黑体" w:hAnsi="宋体" w:eastAsia="黑体"/>
          <w:bCs/>
          <w:color w:val="auto"/>
          <w:sz w:val="30"/>
          <w:szCs w:val="30"/>
          <w:highlight w:val="none"/>
        </w:rPr>
        <w:t>、</w:t>
      </w:r>
      <w:bookmarkEnd w:id="210"/>
      <w:r>
        <w:rPr>
          <w:rFonts w:hint="eastAsia" w:ascii="黑体" w:hAnsi="宋体" w:eastAsia="黑体"/>
          <w:bCs/>
          <w:color w:val="auto"/>
          <w:sz w:val="30"/>
          <w:szCs w:val="30"/>
          <w:highlight w:val="none"/>
        </w:rPr>
        <w:t>确定</w:t>
      </w:r>
      <w:bookmarkEnd w:id="211"/>
      <w:bookmarkEnd w:id="212"/>
      <w:r>
        <w:rPr>
          <w:rFonts w:hint="eastAsia" w:ascii="黑体" w:hAnsi="宋体" w:eastAsia="黑体"/>
          <w:bCs/>
          <w:color w:val="auto"/>
          <w:sz w:val="30"/>
          <w:szCs w:val="30"/>
          <w:highlight w:val="none"/>
        </w:rPr>
        <w:t>中标单位</w:t>
      </w:r>
    </w:p>
    <w:p w14:paraId="2F5763DA">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 xml:space="preserve">.1中标候选人的选取原则和数量见招标文件第五章规定。 </w:t>
      </w:r>
    </w:p>
    <w:p w14:paraId="30D82D5B">
      <w:pPr>
        <w:pageBreakBefore w:val="0"/>
        <w:widowControl w:val="0"/>
        <w:spacing w:line="360" w:lineRule="auto"/>
        <w:ind w:left="0" w:right="0"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 采购人应根据评委会推荐的中标候选人确定中标人。</w:t>
      </w:r>
    </w:p>
    <w:p w14:paraId="74F8F76B">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en-US" w:eastAsia="zh-CN"/>
        </w:rPr>
        <w:t>采购人或</w:t>
      </w:r>
      <w:r>
        <w:rPr>
          <w:rFonts w:hint="eastAsia" w:ascii="宋体" w:hAnsi="宋体"/>
          <w:color w:val="auto"/>
          <w:sz w:val="24"/>
          <w:szCs w:val="24"/>
          <w:highlight w:val="none"/>
        </w:rPr>
        <w:t>采购</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将在“江苏政府采购网”发布中标公告，公告期限为1个工作日。</w:t>
      </w:r>
    </w:p>
    <w:p w14:paraId="3952B513">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  若有充分证据证明，中标人出现下列情况之一的，一经查实，将被取消中标资格：</w:t>
      </w:r>
    </w:p>
    <w:p w14:paraId="3BE5A106">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.4.1提供虚假材料谋取中标的。</w:t>
      </w:r>
    </w:p>
    <w:p w14:paraId="1EFAC1A6">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.4.2向采购人、</w:t>
      </w:r>
      <w:r>
        <w:rPr>
          <w:rFonts w:hint="eastAsia" w:ascii="宋体" w:hAnsi="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4B540098">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.4.3属于本文件规定的无效条件，但在评标过程中又未被评委会发现的。</w:t>
      </w:r>
    </w:p>
    <w:p w14:paraId="34F50571">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.4.4与采购人或者其他</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恶意串通的。</w:t>
      </w:r>
    </w:p>
    <w:p w14:paraId="54472FF6">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.4.5采取不正当手段诋毁、排挤其他</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w:t>
      </w:r>
    </w:p>
    <w:p w14:paraId="7A294D78">
      <w:pPr>
        <w:pageBreakBefore w:val="0"/>
        <w:widowControl w:val="0"/>
        <w:spacing w:line="360" w:lineRule="auto"/>
        <w:ind w:left="0" w:right="0" w:firstLine="480"/>
        <w:rPr>
          <w:rFonts w:ascii="宋体" w:hAnsi="宋体"/>
          <w:color w:val="auto"/>
          <w:sz w:val="24"/>
          <w:szCs w:val="24"/>
          <w:highlight w:val="none"/>
        </w:rPr>
      </w:pPr>
      <w:bookmarkStart w:id="213" w:name="_Toc200451960"/>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 xml:space="preserve"> </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有下列情形之一的，</w:t>
      </w:r>
      <w:r>
        <w:rPr>
          <w:rFonts w:hint="eastAsia" w:ascii="Times New Roman" w:hAnsi="宋体" w:cs="宋体"/>
          <w:color w:val="auto"/>
          <w:sz w:val="24"/>
          <w:szCs w:val="24"/>
          <w:highlight w:val="none"/>
        </w:rPr>
        <w:t>视为</w:t>
      </w:r>
      <w:r>
        <w:rPr>
          <w:rFonts w:hint="eastAsia" w:hAnsi="宋体" w:cs="宋体"/>
          <w:color w:val="auto"/>
          <w:sz w:val="24"/>
          <w:szCs w:val="24"/>
          <w:highlight w:val="none"/>
          <w:lang w:eastAsia="zh-CN"/>
        </w:rPr>
        <w:t>供应商</w:t>
      </w:r>
      <w:r>
        <w:rPr>
          <w:rFonts w:ascii="Times New Roman" w:hAnsi="宋体" w:cs="宋体"/>
          <w:color w:val="auto"/>
          <w:sz w:val="24"/>
          <w:szCs w:val="24"/>
          <w:highlight w:val="none"/>
        </w:rPr>
        <w:t>串通</w:t>
      </w:r>
      <w:r>
        <w:rPr>
          <w:rFonts w:hint="eastAsia" w:ascii="Times New Roman" w:hAnsi="宋体" w:cs="宋体"/>
          <w:color w:val="auto"/>
          <w:sz w:val="24"/>
          <w:szCs w:val="24"/>
          <w:highlight w:val="none"/>
        </w:rPr>
        <w:t>投标，投标无效：</w:t>
      </w:r>
    </w:p>
    <w:p w14:paraId="6CF6763F">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.5.1不同</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的投标文件由同一单位或者个人编制；</w:t>
      </w:r>
    </w:p>
    <w:p w14:paraId="4153DA15">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.5.2不同</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委托同一单位或者个人办理投标事宜；</w:t>
      </w:r>
    </w:p>
    <w:p w14:paraId="18634DFF">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.5.3不同</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的投标文件载明的项目管理成员或者联系人员为同一人；</w:t>
      </w:r>
    </w:p>
    <w:p w14:paraId="4AC1B31B">
      <w:pPr>
        <w:pageBreakBefore w:val="0"/>
        <w:widowControl w:val="0"/>
        <w:spacing w:line="360" w:lineRule="auto"/>
        <w:ind w:left="0" w:right="0"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w:t>
      </w:r>
      <w:r>
        <w:rPr>
          <w:rFonts w:ascii="宋体" w:hAnsi="宋体"/>
          <w:color w:val="auto"/>
          <w:sz w:val="24"/>
          <w:szCs w:val="24"/>
          <w:highlight w:val="none"/>
        </w:rPr>
        <w:t>8</w:t>
      </w:r>
      <w:r>
        <w:rPr>
          <w:rFonts w:hint="eastAsia" w:ascii="宋体" w:hAnsi="宋体"/>
          <w:color w:val="auto"/>
          <w:sz w:val="24"/>
          <w:szCs w:val="24"/>
          <w:highlight w:val="none"/>
        </w:rPr>
        <w:t>.5.4不同</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的投标文件异常一致或者投标报价呈规律性差异</w:t>
      </w:r>
      <w:r>
        <w:rPr>
          <w:rFonts w:hint="eastAsia" w:ascii="宋体" w:hAnsi="宋体"/>
          <w:color w:val="auto"/>
          <w:sz w:val="24"/>
          <w:szCs w:val="24"/>
          <w:highlight w:val="none"/>
          <w:lang w:val="en-US" w:eastAsia="zh-CN"/>
        </w:rPr>
        <w:t>。</w:t>
      </w:r>
    </w:p>
    <w:p w14:paraId="0901A2E7">
      <w:pPr>
        <w:keepNext/>
        <w:keepLines/>
        <w:pageBreakBefore w:val="0"/>
        <w:widowControl w:val="0"/>
        <w:spacing w:line="360" w:lineRule="auto"/>
        <w:ind w:left="0" w:right="0" w:firstLine="600"/>
        <w:outlineLvl w:val="3"/>
        <w:rPr>
          <w:rFonts w:hint="eastAsia" w:ascii="黑体" w:hAnsi="宋体" w:eastAsia="黑体"/>
          <w:bCs/>
          <w:color w:val="auto"/>
          <w:sz w:val="30"/>
          <w:szCs w:val="30"/>
          <w:highlight w:val="none"/>
        </w:rPr>
      </w:pPr>
      <w:r>
        <w:rPr>
          <w:rFonts w:ascii="黑体" w:hAnsi="宋体" w:eastAsia="黑体"/>
          <w:bCs/>
          <w:color w:val="auto"/>
          <w:sz w:val="30"/>
          <w:szCs w:val="30"/>
          <w:highlight w:val="none"/>
        </w:rPr>
        <w:t>29</w:t>
      </w:r>
      <w:r>
        <w:rPr>
          <w:rFonts w:hint="eastAsia" w:ascii="黑体" w:hAnsi="宋体" w:eastAsia="黑体"/>
          <w:bCs/>
          <w:color w:val="auto"/>
          <w:sz w:val="30"/>
          <w:szCs w:val="30"/>
          <w:highlight w:val="none"/>
        </w:rPr>
        <w:t>、质疑处理</w:t>
      </w:r>
      <w:bookmarkEnd w:id="213"/>
    </w:p>
    <w:p w14:paraId="6161AFB2">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.1 提出质疑的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应当是参与所质疑项目采购活动的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。潜在</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依法获取其可质疑的</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的，可以对</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提出质疑。</w:t>
      </w:r>
    </w:p>
    <w:p w14:paraId="638A0365">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认为</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、采购过程和采购结果使自己的权益受到损害的，可以在知道或应知其权益受到损害之日起七个工作日内，以书面形式根据下述29.4条款的规定向采购</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或采购人提出质疑。上述应知其权益受到损害之日，是指：</w:t>
      </w:r>
    </w:p>
    <w:p w14:paraId="04C08853">
      <w:pPr>
        <w:pageBreakBefore w:val="0"/>
        <w:widowControl w:val="0"/>
        <w:spacing w:line="360" w:lineRule="auto"/>
        <w:ind w:left="0" w:right="0" w:firstLine="480"/>
        <w:rPr>
          <w:rFonts w:ascii="Times New Roman" w:hAnsi="宋体" w:cs="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.2.1</w:t>
      </w:r>
      <w:r>
        <w:rPr>
          <w:rFonts w:ascii="Times New Roman" w:hAnsi="宋体" w:cs="宋体"/>
          <w:color w:val="auto"/>
          <w:sz w:val="24"/>
          <w:szCs w:val="24"/>
          <w:highlight w:val="none"/>
        </w:rPr>
        <w:t>对可以质疑的</w:t>
      </w:r>
      <w:r>
        <w:rPr>
          <w:rFonts w:hint="eastAsia" w:ascii="Times New Roman" w:hAnsi="宋体" w:cs="宋体"/>
          <w:color w:val="auto"/>
          <w:sz w:val="24"/>
          <w:szCs w:val="24"/>
          <w:highlight w:val="none"/>
          <w:lang w:eastAsia="zh-CN"/>
        </w:rPr>
        <w:t>招标文件</w:t>
      </w:r>
      <w:r>
        <w:rPr>
          <w:rFonts w:ascii="Times New Roman" w:hAnsi="宋体" w:cs="宋体"/>
          <w:color w:val="auto"/>
          <w:sz w:val="24"/>
          <w:szCs w:val="24"/>
          <w:highlight w:val="none"/>
        </w:rPr>
        <w:t>提出质疑的，为收到</w:t>
      </w:r>
      <w:r>
        <w:rPr>
          <w:rFonts w:hint="eastAsia" w:ascii="Times New Roman" w:hAnsi="宋体" w:cs="宋体"/>
          <w:color w:val="auto"/>
          <w:sz w:val="24"/>
          <w:szCs w:val="24"/>
          <w:highlight w:val="none"/>
          <w:lang w:eastAsia="zh-CN"/>
        </w:rPr>
        <w:t>招标文件</w:t>
      </w:r>
      <w:r>
        <w:rPr>
          <w:rFonts w:ascii="Times New Roman" w:hAnsi="宋体" w:cs="宋体"/>
          <w:color w:val="auto"/>
          <w:sz w:val="24"/>
          <w:szCs w:val="24"/>
          <w:highlight w:val="none"/>
        </w:rPr>
        <w:t>之日或者</w:t>
      </w:r>
      <w:r>
        <w:rPr>
          <w:rFonts w:hint="eastAsia" w:ascii="Times New Roman" w:hAnsi="宋体" w:cs="宋体"/>
          <w:color w:val="auto"/>
          <w:sz w:val="24"/>
          <w:szCs w:val="24"/>
          <w:highlight w:val="none"/>
          <w:lang w:eastAsia="zh-CN"/>
        </w:rPr>
        <w:t>招标文件</w:t>
      </w:r>
      <w:r>
        <w:rPr>
          <w:rFonts w:ascii="Times New Roman" w:hAnsi="宋体" w:cs="宋体"/>
          <w:color w:val="auto"/>
          <w:sz w:val="24"/>
          <w:szCs w:val="24"/>
          <w:highlight w:val="none"/>
        </w:rPr>
        <w:t>公告期限届满之日；</w:t>
      </w:r>
    </w:p>
    <w:p w14:paraId="7863F407">
      <w:pPr>
        <w:pageBreakBefore w:val="0"/>
        <w:widowControl w:val="0"/>
        <w:spacing w:line="360" w:lineRule="auto"/>
        <w:ind w:left="0" w:right="0" w:firstLine="480"/>
        <w:rPr>
          <w:rFonts w:hint="eastAsia" w:ascii="Times New Roman" w:hAnsi="宋体" w:cs="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.2.2</w:t>
      </w:r>
      <w:r>
        <w:rPr>
          <w:rFonts w:ascii="Times New Roman" w:hAnsi="宋体" w:cs="宋体"/>
          <w:color w:val="auto"/>
          <w:sz w:val="24"/>
          <w:szCs w:val="24"/>
          <w:highlight w:val="none"/>
        </w:rPr>
        <w:t>对采购过程提出质疑的，为各采购程序环节结束之日；</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.2.3</w:t>
      </w:r>
      <w:r>
        <w:rPr>
          <w:rFonts w:ascii="Times New Roman" w:hAnsi="宋体" w:cs="宋体"/>
          <w:color w:val="auto"/>
          <w:sz w:val="24"/>
          <w:szCs w:val="24"/>
          <w:highlight w:val="none"/>
        </w:rPr>
        <w:t>对中标或者成交结果提出质疑的，为中标或者成交结果公告期限届满之日。</w:t>
      </w:r>
    </w:p>
    <w:p w14:paraId="3D8FDA96">
      <w:pPr>
        <w:pageBreakBefore w:val="0"/>
        <w:widowControl w:val="0"/>
        <w:spacing w:line="360" w:lineRule="auto"/>
        <w:ind w:left="0" w:right="0" w:firstLine="480"/>
        <w:rPr>
          <w:rFonts w:hint="eastAsia" w:ascii="Times New Roman" w:hAnsi="宋体" w:cs="宋体"/>
          <w:color w:val="auto"/>
          <w:sz w:val="24"/>
          <w:szCs w:val="24"/>
          <w:highlight w:val="none"/>
        </w:rPr>
      </w:pPr>
      <w:r>
        <w:rPr>
          <w:rFonts w:hint="eastAsia" w:hAnsi="宋体" w:cs="宋体"/>
          <w:color w:val="auto"/>
          <w:sz w:val="24"/>
          <w:szCs w:val="24"/>
          <w:highlight w:val="none"/>
          <w:lang w:eastAsia="zh-CN"/>
        </w:rPr>
        <w:t>供应商</w:t>
      </w:r>
      <w:r>
        <w:rPr>
          <w:rFonts w:hint="eastAsia" w:ascii="Times New Roman" w:hAnsi="宋体" w:cs="宋体"/>
          <w:color w:val="auto"/>
          <w:sz w:val="24"/>
          <w:szCs w:val="24"/>
          <w:highlight w:val="none"/>
        </w:rPr>
        <w:t>应当在法定质疑期内一次性提出针对同一采购程序环节的质疑。</w:t>
      </w:r>
      <w:r>
        <w:rPr>
          <w:rFonts w:hint="eastAsia" w:hAnsi="宋体" w:cs="宋体"/>
          <w:color w:val="auto"/>
          <w:sz w:val="24"/>
          <w:szCs w:val="24"/>
          <w:highlight w:val="none"/>
          <w:lang w:eastAsia="zh-CN"/>
        </w:rPr>
        <w:t>供应商</w:t>
      </w:r>
      <w:r>
        <w:rPr>
          <w:rFonts w:hint="eastAsia" w:ascii="Times New Roman" w:hAnsi="宋体" w:cs="宋体"/>
          <w:color w:val="auto"/>
          <w:sz w:val="24"/>
          <w:szCs w:val="24"/>
          <w:highlight w:val="none"/>
        </w:rPr>
        <w:t>如在法定期限内对同一采购程序环节提出多次质疑的，采购</w:t>
      </w:r>
      <w:r>
        <w:rPr>
          <w:rFonts w:hint="eastAsia" w:ascii="Times New Roman" w:hAnsi="宋体" w:cs="宋体"/>
          <w:color w:val="auto"/>
          <w:sz w:val="24"/>
          <w:szCs w:val="24"/>
          <w:highlight w:val="none"/>
          <w:lang w:val="en-US" w:eastAsia="zh-CN"/>
        </w:rPr>
        <w:t>代理机构</w:t>
      </w:r>
      <w:r>
        <w:rPr>
          <w:rFonts w:hint="eastAsia" w:ascii="Times New Roman" w:hAnsi="宋体" w:cs="宋体"/>
          <w:color w:val="auto"/>
          <w:sz w:val="24"/>
          <w:szCs w:val="24"/>
          <w:highlight w:val="none"/>
        </w:rPr>
        <w:t>、</w:t>
      </w:r>
      <w:r>
        <w:rPr>
          <w:rFonts w:ascii="Times New Roman" w:hAnsi="宋体" w:cs="宋体"/>
          <w:color w:val="auto"/>
          <w:sz w:val="24"/>
          <w:szCs w:val="24"/>
          <w:highlight w:val="none"/>
        </w:rPr>
        <w:t>采购人</w:t>
      </w:r>
      <w:r>
        <w:rPr>
          <w:rFonts w:hint="eastAsia" w:ascii="Times New Roman" w:hAnsi="宋体" w:cs="宋体"/>
          <w:color w:val="auto"/>
          <w:sz w:val="24"/>
          <w:szCs w:val="24"/>
          <w:highlight w:val="none"/>
        </w:rPr>
        <w:t>将只对</w:t>
      </w:r>
      <w:r>
        <w:rPr>
          <w:rFonts w:hint="eastAsia" w:hAnsi="宋体" w:cs="宋体"/>
          <w:color w:val="auto"/>
          <w:sz w:val="24"/>
          <w:szCs w:val="24"/>
          <w:highlight w:val="none"/>
          <w:lang w:eastAsia="zh-CN"/>
        </w:rPr>
        <w:t>供应商</w:t>
      </w:r>
      <w:r>
        <w:rPr>
          <w:rFonts w:hint="eastAsia" w:ascii="Times New Roman" w:hAnsi="宋体" w:cs="宋体"/>
          <w:color w:val="auto"/>
          <w:sz w:val="24"/>
          <w:szCs w:val="24"/>
          <w:highlight w:val="none"/>
        </w:rPr>
        <w:t>第一次质疑作出答复。</w:t>
      </w:r>
    </w:p>
    <w:p w14:paraId="6A0CF569">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.3质疑函必须按照本招标文件中《质疑函范本》要求的格式和内容进行填写。</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如组成联合体参加投标，则《质疑函范本》中要求签字、盖章、加盖公章之处，联合体各方均须按要求签字、盖章、加盖公章。</w:t>
      </w:r>
    </w:p>
    <w:p w14:paraId="2C375C60">
      <w:pPr>
        <w:pageBreakBefore w:val="0"/>
        <w:widowControl w:val="0"/>
        <w:spacing w:line="360" w:lineRule="auto"/>
        <w:ind w:left="0" w:right="0" w:firstLine="480"/>
        <w:rPr>
          <w:rFonts w:ascii="宋体" w:hAnsi="宋体"/>
          <w:b/>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 xml:space="preserve">.4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（含潜在</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招标文件中采购</w:t>
      </w:r>
      <w:r>
        <w:rPr>
          <w:rFonts w:ascii="宋体" w:hAnsi="宋体"/>
          <w:color w:val="auto"/>
          <w:sz w:val="24"/>
          <w:szCs w:val="24"/>
          <w:highlight w:val="none"/>
        </w:rPr>
        <w:t>需求</w:t>
      </w:r>
      <w:r>
        <w:rPr>
          <w:rFonts w:hint="eastAsia" w:ascii="宋体" w:hAnsi="宋体"/>
          <w:color w:val="auto"/>
          <w:sz w:val="24"/>
          <w:szCs w:val="24"/>
          <w:highlight w:val="none"/>
          <w:lang w:eastAsia="zh-CN"/>
        </w:rPr>
        <w:t>、</w:t>
      </w:r>
      <w:r>
        <w:rPr>
          <w:rFonts w:ascii="宋体" w:hAnsi="宋体"/>
          <w:color w:val="auto"/>
          <w:sz w:val="24"/>
          <w:szCs w:val="24"/>
          <w:highlight w:val="none"/>
        </w:rPr>
        <w:t>合同文本</w:t>
      </w:r>
      <w:r>
        <w:rPr>
          <w:rFonts w:hint="eastAsia" w:ascii="宋体" w:hAnsi="宋体"/>
          <w:color w:val="auto"/>
          <w:sz w:val="24"/>
          <w:szCs w:val="24"/>
          <w:highlight w:val="none"/>
        </w:rPr>
        <w:t>及</w:t>
      </w:r>
      <w:r>
        <w:rPr>
          <w:rFonts w:ascii="宋体" w:hAnsi="宋体"/>
          <w:color w:val="auto"/>
          <w:sz w:val="24"/>
          <w:szCs w:val="24"/>
          <w:highlight w:val="none"/>
        </w:rPr>
        <w:t>资格</w:t>
      </w:r>
      <w:r>
        <w:rPr>
          <w:rFonts w:hint="eastAsia" w:ascii="宋体" w:hAnsi="宋体"/>
          <w:color w:val="auto"/>
          <w:sz w:val="24"/>
          <w:szCs w:val="24"/>
          <w:highlight w:val="none"/>
        </w:rPr>
        <w:t>审查结果的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对</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资格条件、评标方法和评标标准的询问</w:t>
      </w:r>
      <w:r>
        <w:rPr>
          <w:rFonts w:ascii="宋体" w:hAnsi="宋体"/>
          <w:color w:val="auto"/>
          <w:sz w:val="24"/>
          <w:szCs w:val="24"/>
          <w:highlight w:val="none"/>
        </w:rPr>
        <w:t>、质疑请向采购</w:t>
      </w:r>
      <w:r>
        <w:rPr>
          <w:rFonts w:hint="eastAsia" w:ascii="宋体" w:hAnsi="宋体"/>
          <w:color w:val="auto"/>
          <w:sz w:val="24"/>
          <w:szCs w:val="24"/>
          <w:highlight w:val="none"/>
          <w:lang w:val="en-US" w:eastAsia="zh-CN"/>
        </w:rPr>
        <w:t>代理机构</w:t>
      </w:r>
      <w:r>
        <w:rPr>
          <w:rFonts w:ascii="宋体" w:hAnsi="宋体"/>
          <w:color w:val="auto"/>
          <w:sz w:val="24"/>
          <w:szCs w:val="24"/>
          <w:highlight w:val="none"/>
        </w:rPr>
        <w:t>提出，由采购</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负责</w:t>
      </w:r>
      <w:r>
        <w:rPr>
          <w:rFonts w:ascii="宋体" w:hAnsi="宋体"/>
          <w:color w:val="auto"/>
          <w:sz w:val="24"/>
          <w:szCs w:val="24"/>
          <w:highlight w:val="none"/>
        </w:rPr>
        <w:t>答复。</w:t>
      </w:r>
      <w:r>
        <w:rPr>
          <w:rFonts w:hint="eastAsia" w:ascii="宋体" w:hAnsi="宋体"/>
          <w:b/>
          <w:color w:val="auto"/>
          <w:sz w:val="24"/>
          <w:szCs w:val="24"/>
          <w:highlight w:val="none"/>
        </w:rPr>
        <w:t xml:space="preserve"> </w:t>
      </w:r>
    </w:p>
    <w:p w14:paraId="2E479A2F">
      <w:pPr>
        <w:pageBreakBefore w:val="0"/>
        <w:widowControl w:val="0"/>
        <w:spacing w:line="360" w:lineRule="auto"/>
        <w:ind w:left="0" w:right="0" w:firstLine="482"/>
        <w:rPr>
          <w:rFonts w:hint="eastAsia" w:ascii="宋体" w:hAnsi="宋体"/>
          <w:color w:val="auto"/>
          <w:sz w:val="24"/>
          <w:szCs w:val="24"/>
          <w:highlight w:val="none"/>
        </w:rPr>
      </w:pPr>
      <w:r>
        <w:rPr>
          <w:rFonts w:hint="eastAsia" w:ascii="宋体" w:hAnsi="宋体"/>
          <w:b/>
          <w:bCs/>
          <w:color w:val="auto"/>
          <w:sz w:val="24"/>
          <w:szCs w:val="24"/>
          <w:highlight w:val="none"/>
        </w:rPr>
        <w:t>采购人及采购</w:t>
      </w:r>
      <w:r>
        <w:rPr>
          <w:rFonts w:hint="eastAsia" w:ascii="宋体" w:hAnsi="宋体"/>
          <w:b/>
          <w:bCs/>
          <w:color w:val="auto"/>
          <w:sz w:val="24"/>
          <w:szCs w:val="24"/>
          <w:highlight w:val="none"/>
          <w:lang w:val="en-US" w:eastAsia="zh-CN"/>
        </w:rPr>
        <w:t>代理机构</w:t>
      </w:r>
      <w:r>
        <w:rPr>
          <w:rFonts w:hint="eastAsia" w:ascii="宋体" w:hAnsi="宋体"/>
          <w:b/>
          <w:bCs/>
          <w:color w:val="auto"/>
          <w:sz w:val="24"/>
          <w:szCs w:val="24"/>
          <w:highlight w:val="none"/>
        </w:rPr>
        <w:t>只接收以纸质原件形式送达的质疑</w:t>
      </w:r>
      <w:r>
        <w:rPr>
          <w:rFonts w:hint="eastAsia" w:ascii="宋体" w:hAnsi="宋体"/>
          <w:b/>
          <w:bCs/>
          <w:color w:val="auto"/>
          <w:sz w:val="24"/>
          <w:szCs w:val="24"/>
          <w:highlight w:val="none"/>
          <w:lang w:eastAsia="zh-CN"/>
        </w:rPr>
        <w:t>，供应商</w:t>
      </w:r>
      <w:r>
        <w:rPr>
          <w:rFonts w:hint="eastAsia" w:ascii="宋体" w:hAnsi="宋体"/>
          <w:b/>
          <w:bCs/>
          <w:color w:val="auto"/>
          <w:sz w:val="24"/>
          <w:szCs w:val="24"/>
          <w:highlight w:val="none"/>
          <w:lang w:val="en-US" w:eastAsia="zh-CN"/>
        </w:rPr>
        <w:t>可以</w:t>
      </w:r>
      <w:r>
        <w:rPr>
          <w:rFonts w:hint="eastAsia" w:ascii="宋体" w:hAnsi="宋体"/>
          <w:b/>
          <w:bCs/>
          <w:color w:val="auto"/>
          <w:sz w:val="24"/>
          <w:szCs w:val="24"/>
          <w:highlight w:val="none"/>
          <w:lang w:eastAsia="zh-CN"/>
        </w:rPr>
        <w:t>通过</w:t>
      </w:r>
      <w:r>
        <w:rPr>
          <w:rFonts w:hint="eastAsia" w:ascii="宋体" w:hAnsi="宋体"/>
          <w:b/>
          <w:bCs/>
          <w:color w:val="auto"/>
          <w:sz w:val="24"/>
          <w:szCs w:val="24"/>
          <w:highlight w:val="none"/>
          <w:lang w:val="en-US" w:eastAsia="zh-CN"/>
        </w:rPr>
        <w:t>现场递交或</w:t>
      </w:r>
      <w:r>
        <w:rPr>
          <w:rFonts w:hint="eastAsia" w:ascii="宋体" w:hAnsi="宋体"/>
          <w:b/>
          <w:bCs/>
          <w:color w:val="auto"/>
          <w:sz w:val="24"/>
          <w:szCs w:val="24"/>
          <w:highlight w:val="none"/>
          <w:lang w:eastAsia="zh-CN"/>
        </w:rPr>
        <w:t>邮寄方式提交质疑</w:t>
      </w:r>
      <w:r>
        <w:rPr>
          <w:rFonts w:hint="eastAsia" w:ascii="宋体" w:hAnsi="宋体"/>
          <w:color w:val="auto"/>
          <w:sz w:val="24"/>
          <w:szCs w:val="24"/>
          <w:highlight w:val="none"/>
        </w:rPr>
        <w:t>。</w:t>
      </w:r>
    </w:p>
    <w:p w14:paraId="60B6A993">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采购</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质疑接收部门为</w:t>
      </w:r>
      <w:r>
        <w:rPr>
          <w:rFonts w:hint="eastAsia" w:ascii="宋体" w:hAnsi="宋体"/>
          <w:color w:val="auto"/>
          <w:sz w:val="24"/>
          <w:szCs w:val="24"/>
          <w:highlight w:val="none"/>
          <w:lang w:val="en-US" w:eastAsia="zh-CN"/>
        </w:rPr>
        <w:t>江苏伟之达项目管理咨询有限公司招标代理部</w:t>
      </w:r>
      <w:r>
        <w:rPr>
          <w:rFonts w:hint="eastAsia" w:ascii="宋体" w:hAnsi="宋体"/>
          <w:color w:val="auto"/>
          <w:sz w:val="24"/>
          <w:szCs w:val="24"/>
          <w:highlight w:val="none"/>
        </w:rPr>
        <w:t>，联系地址：</w:t>
      </w:r>
      <w:r>
        <w:rPr>
          <w:rFonts w:hint="eastAsia" w:ascii="宋体" w:hAnsi="宋体" w:eastAsia="宋体" w:cs="Times New Roman"/>
          <w:color w:val="auto"/>
          <w:sz w:val="24"/>
          <w:szCs w:val="24"/>
          <w:highlight w:val="none"/>
        </w:rPr>
        <w:t>连云港市海州区新大街9号凤凰·光辉岁月商务花园3号楼一</w:t>
      </w:r>
      <w:r>
        <w:rPr>
          <w:rFonts w:hint="eastAsia" w:ascii="宋体" w:hAnsi="宋体" w:eastAsia="宋体" w:cs="Times New Roman"/>
          <w:color w:val="auto"/>
          <w:sz w:val="24"/>
          <w:szCs w:val="24"/>
          <w:highlight w:val="none"/>
          <w:lang w:eastAsia="zh-CN"/>
        </w:rPr>
        <w:t>楼招标代理部</w:t>
      </w:r>
      <w:r>
        <w:rPr>
          <w:rFonts w:hint="eastAsia" w:ascii="宋体" w:hAnsi="宋体" w:eastAsia="宋体" w:cs="Times New Roman"/>
          <w:color w:val="auto"/>
          <w:sz w:val="24"/>
          <w:szCs w:val="24"/>
          <w:highlight w:val="none"/>
        </w:rPr>
        <w:t>，</w:t>
      </w:r>
      <w:r>
        <w:rPr>
          <w:rFonts w:hint="eastAsia" w:ascii="宋体" w:hAnsi="宋体"/>
          <w:color w:val="auto"/>
          <w:sz w:val="24"/>
          <w:szCs w:val="24"/>
          <w:highlight w:val="none"/>
        </w:rPr>
        <w:t>联系电话：</w:t>
      </w:r>
      <w:r>
        <w:rPr>
          <w:rFonts w:hint="eastAsia" w:ascii="宋体" w:hAnsi="宋体"/>
          <w:color w:val="auto"/>
          <w:sz w:val="24"/>
          <w:szCs w:val="24"/>
          <w:highlight w:val="none"/>
          <w:lang w:eastAsia="zh-CN"/>
        </w:rPr>
        <w:t>0518-85855</w:t>
      </w:r>
      <w:r>
        <w:rPr>
          <w:rFonts w:hint="eastAsia" w:ascii="宋体" w:hAnsi="宋体" w:eastAsia="宋体" w:cs="Times New Roman"/>
          <w:color w:val="auto"/>
          <w:sz w:val="24"/>
          <w:szCs w:val="24"/>
          <w:highlight w:val="none"/>
          <w:lang w:eastAsia="zh-CN"/>
        </w:rPr>
        <w:t>258，</w:t>
      </w:r>
      <w:r>
        <w:rPr>
          <w:rFonts w:hint="eastAsia" w:ascii="宋体" w:hAnsi="宋体" w:eastAsia="宋体" w:cs="Times New Roman"/>
          <w:color w:val="auto"/>
          <w:sz w:val="24"/>
          <w:szCs w:val="24"/>
          <w:highlight w:val="none"/>
        </w:rPr>
        <w:t>18115991881。</w:t>
      </w:r>
    </w:p>
    <w:p w14:paraId="5EAD3DDD">
      <w:pPr>
        <w:pageBreakBefore w:val="0"/>
        <w:widowControl w:val="0"/>
        <w:spacing w:line="360" w:lineRule="auto"/>
        <w:ind w:left="0" w:right="0" w:firstLine="480"/>
        <w:rPr>
          <w:rFonts w:hint="eastAsia" w:ascii="宋体" w:hAnsi="宋体"/>
          <w:color w:val="auto"/>
          <w:sz w:val="24"/>
          <w:szCs w:val="24"/>
          <w:highlight w:val="none"/>
        </w:rPr>
      </w:pPr>
      <w:r>
        <w:rPr>
          <w:rFonts w:hint="eastAsia" w:ascii="宋体" w:hAnsi="宋体"/>
          <w:color w:val="auto"/>
          <w:sz w:val="24"/>
          <w:szCs w:val="24"/>
          <w:highlight w:val="none"/>
        </w:rPr>
        <w:t>采购人质疑接收人及联系方式见招标文件第一章。</w:t>
      </w:r>
    </w:p>
    <w:p w14:paraId="336FC032">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 以下情形的质疑不予受理</w:t>
      </w:r>
    </w:p>
    <w:p w14:paraId="06062EDB">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.5.1 内容不符合《政府采购质疑和投诉办法》第十二条规定的质疑。</w:t>
      </w:r>
    </w:p>
    <w:p w14:paraId="7241E343">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.5.2 超出政府采购法定期限的质疑。</w:t>
      </w:r>
    </w:p>
    <w:p w14:paraId="2972B3F8">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.5.3 以传真、电子邮件等方式递交的非原件形式的质疑。</w:t>
      </w:r>
    </w:p>
    <w:p w14:paraId="3DB98FAE">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.5.4 未参加投标活动的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或在投标活动中自身权益未受到损害的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所提出的质疑。</w:t>
      </w:r>
    </w:p>
    <w:p w14:paraId="3F600FF5">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.5.5</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组成联合体参加投标，联合体中任何一方或多方未按要求签字、盖章、加盖公章的质疑。</w:t>
      </w:r>
    </w:p>
    <w:p w14:paraId="42A7542B">
      <w:pPr>
        <w:pageBreakBefore w:val="0"/>
        <w:widowControl w:val="0"/>
        <w:spacing w:line="360" w:lineRule="auto"/>
        <w:ind w:left="0" w:right="0" w:firstLine="468"/>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 xml:space="preserve">.6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提出书面质疑必须有理、有据，不得捏造事实、提供虚假材料进行恶意质疑。否则，一经查实，采购</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有权依据政府采购的有关规定，报请政府采购监管部门对该</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进行相应的行政处罚和记录该</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的失信信息。</w:t>
      </w:r>
    </w:p>
    <w:p w14:paraId="740EA638">
      <w:pPr>
        <w:keepNext/>
        <w:keepLines/>
        <w:pageBreakBefore w:val="0"/>
        <w:widowControl w:val="0"/>
        <w:spacing w:line="360" w:lineRule="auto"/>
        <w:ind w:left="0" w:right="0" w:firstLine="600"/>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0</w:t>
      </w:r>
      <w:r>
        <w:rPr>
          <w:rFonts w:hint="eastAsia" w:ascii="黑体" w:hAnsi="宋体" w:eastAsia="黑体"/>
          <w:bCs/>
          <w:color w:val="auto"/>
          <w:sz w:val="30"/>
          <w:szCs w:val="30"/>
          <w:highlight w:val="none"/>
        </w:rPr>
        <w:t>、中标通知书</w:t>
      </w:r>
    </w:p>
    <w:p w14:paraId="04681903">
      <w:pPr>
        <w:pageBreakBefore w:val="0"/>
        <w:widowControl w:val="0"/>
        <w:spacing w:line="360" w:lineRule="auto"/>
        <w:ind w:left="0" w:right="0" w:firstLine="600"/>
        <w:rPr>
          <w:rFonts w:hint="eastAsia" w:ascii="宋体" w:hAnsi="宋体" w:eastAsia="宋体"/>
          <w:b/>
          <w:bCs w:val="0"/>
          <w:color w:val="auto"/>
          <w:sz w:val="24"/>
          <w:szCs w:val="24"/>
          <w:highlight w:val="none"/>
          <w:lang w:val="en-US" w:eastAsia="zh-CN"/>
        </w:rPr>
      </w:pPr>
      <w:r>
        <w:rPr>
          <w:rFonts w:ascii="宋体" w:hAnsi="宋体"/>
          <w:color w:val="auto"/>
          <w:sz w:val="24"/>
          <w:szCs w:val="24"/>
          <w:highlight w:val="none"/>
        </w:rPr>
        <w:t>30</w:t>
      </w:r>
      <w:r>
        <w:rPr>
          <w:rFonts w:hint="eastAsia" w:ascii="宋体" w:hAnsi="宋体"/>
          <w:color w:val="auto"/>
          <w:sz w:val="24"/>
          <w:szCs w:val="24"/>
          <w:highlight w:val="none"/>
        </w:rPr>
        <w:t>.l</w:t>
      </w: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中标人确定后，中标结果由采购代理机构在</w:t>
      </w:r>
      <w:r>
        <w:rPr>
          <w:rFonts w:hint="eastAsia" w:ascii="宋体" w:hAnsi="宋体"/>
          <w:b w:val="0"/>
          <w:bCs/>
          <w:color w:val="auto"/>
          <w:sz w:val="24"/>
          <w:szCs w:val="24"/>
          <w:highlight w:val="none"/>
          <w:lang w:val="en-US" w:eastAsia="zh-CN"/>
        </w:rPr>
        <w:t>江苏政府采购网</w:t>
      </w:r>
      <w:r>
        <w:rPr>
          <w:rFonts w:hint="eastAsia" w:ascii="宋体" w:hAnsi="宋体"/>
          <w:b w:val="0"/>
          <w:bCs/>
          <w:color w:val="auto"/>
          <w:sz w:val="24"/>
          <w:szCs w:val="24"/>
          <w:highlight w:val="none"/>
        </w:rPr>
        <w:t>公告，中标公告期限为1个工作日，同时由采购代理机构向中标人发出中标通</w:t>
      </w:r>
      <w:r>
        <w:rPr>
          <w:rFonts w:hint="eastAsia" w:ascii="宋体" w:hAnsi="宋体"/>
          <w:b w:val="0"/>
          <w:bCs/>
          <w:color w:val="auto"/>
          <w:sz w:val="24"/>
          <w:szCs w:val="24"/>
          <w:highlight w:val="none"/>
          <w:lang w:val="en-US" w:eastAsia="zh-CN"/>
        </w:rPr>
        <w:t>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bCs w:val="0"/>
          <w:color w:val="auto"/>
          <w:sz w:val="24"/>
          <w:szCs w:val="24"/>
          <w:highlight w:val="none"/>
        </w:rPr>
        <w:t>中标</w:t>
      </w:r>
      <w:r>
        <w:rPr>
          <w:rFonts w:hint="eastAsia" w:ascii="宋体" w:hAnsi="宋体"/>
          <w:b/>
          <w:bCs w:val="0"/>
          <w:color w:val="auto"/>
          <w:sz w:val="24"/>
          <w:szCs w:val="24"/>
          <w:highlight w:val="none"/>
          <w:lang w:val="en-US" w:eastAsia="zh-CN"/>
        </w:rPr>
        <w:t>人</w:t>
      </w:r>
      <w:r>
        <w:rPr>
          <w:rFonts w:hint="eastAsia" w:ascii="宋体" w:hAnsi="宋体"/>
          <w:b/>
          <w:bCs w:val="0"/>
          <w:color w:val="auto"/>
          <w:sz w:val="24"/>
          <w:szCs w:val="24"/>
          <w:highlight w:val="none"/>
        </w:rPr>
        <w:t>在领取中标通知书时，需提供五份与电子投标文件一致的纸质打印投标文件，须封面、骑缝加盖公章</w:t>
      </w:r>
      <w:r>
        <w:rPr>
          <w:rFonts w:hint="eastAsia" w:ascii="宋体" w:hAnsi="宋体"/>
          <w:b/>
          <w:bCs w:val="0"/>
          <w:color w:val="auto"/>
          <w:sz w:val="24"/>
          <w:szCs w:val="24"/>
          <w:highlight w:val="none"/>
          <w:lang w:eastAsia="zh-CN"/>
        </w:rPr>
        <w:t>。</w:t>
      </w:r>
    </w:p>
    <w:p w14:paraId="5DC767B0">
      <w:pPr>
        <w:pageBreakBefore w:val="0"/>
        <w:widowControl w:val="0"/>
        <w:spacing w:line="360" w:lineRule="auto"/>
        <w:ind w:left="0" w:right="0"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.2中标通知书将是合同的一个组成部分。对采购人和中标</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均具有法律效力。中标通知书发出后，采购人改变中标结果的，或者中标</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放弃中标项目的，应当依法承担法律责任。</w:t>
      </w:r>
    </w:p>
    <w:p w14:paraId="2EE4F20B">
      <w:pPr>
        <w:keepNext/>
        <w:keepLines/>
        <w:pageBreakBefore w:val="0"/>
        <w:widowControl w:val="0"/>
        <w:spacing w:line="360" w:lineRule="auto"/>
        <w:ind w:left="0" w:right="0"/>
        <w:outlineLvl w:val="2"/>
        <w:rPr>
          <w:rFonts w:hint="eastAsia" w:ascii="Times New Roman" w:hAnsi="Times New Roman"/>
          <w:b/>
          <w:bCs/>
          <w:color w:val="auto"/>
          <w:sz w:val="32"/>
          <w:szCs w:val="32"/>
          <w:highlight w:val="none"/>
        </w:rPr>
      </w:pPr>
      <w:bookmarkStart w:id="214" w:name="_Toc6083"/>
      <w:bookmarkStart w:id="215" w:name="_Toc5539"/>
      <w:bookmarkStart w:id="216" w:name="_Toc28119"/>
      <w:bookmarkStart w:id="217" w:name="_Toc16265"/>
      <w:bookmarkStart w:id="218" w:name="_Toc120614220"/>
      <w:bookmarkStart w:id="219" w:name="_Toc20823308"/>
      <w:bookmarkStart w:id="220" w:name="_Toc16938552"/>
      <w:bookmarkStart w:id="221" w:name="_Toc513029236"/>
      <w:r>
        <w:rPr>
          <w:rFonts w:hint="eastAsia" w:ascii="Times New Roman" w:hAnsi="Times New Roman"/>
          <w:b/>
          <w:bCs/>
          <w:color w:val="auto"/>
          <w:sz w:val="32"/>
          <w:szCs w:val="32"/>
          <w:highlight w:val="none"/>
        </w:rPr>
        <w:t>七、授予合同</w:t>
      </w:r>
      <w:bookmarkEnd w:id="214"/>
      <w:bookmarkEnd w:id="215"/>
      <w:bookmarkEnd w:id="216"/>
      <w:bookmarkEnd w:id="217"/>
      <w:bookmarkEnd w:id="218"/>
    </w:p>
    <w:bookmarkEnd w:id="219"/>
    <w:bookmarkEnd w:id="220"/>
    <w:bookmarkEnd w:id="221"/>
    <w:p w14:paraId="1E3482F8">
      <w:pPr>
        <w:keepNext/>
        <w:keepLines/>
        <w:pageBreakBefore w:val="0"/>
        <w:widowControl w:val="0"/>
        <w:spacing w:line="360" w:lineRule="auto"/>
        <w:ind w:left="0" w:right="0" w:firstLine="600"/>
        <w:outlineLvl w:val="3"/>
        <w:rPr>
          <w:rFonts w:hint="eastAsia" w:ascii="黑体" w:hAnsi="宋体" w:eastAsia="黑体"/>
          <w:bCs/>
          <w:color w:val="auto"/>
          <w:sz w:val="30"/>
          <w:szCs w:val="30"/>
          <w:highlight w:val="none"/>
        </w:rPr>
      </w:pPr>
      <w:bookmarkStart w:id="222" w:name="_Toc16938553"/>
      <w:bookmarkStart w:id="223" w:name="_Toc20823309"/>
      <w:bookmarkStart w:id="224" w:name="_Toc513029237"/>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1</w:t>
      </w:r>
      <w:r>
        <w:rPr>
          <w:rFonts w:hint="eastAsia" w:ascii="黑体" w:hAnsi="宋体" w:eastAsia="黑体"/>
          <w:bCs/>
          <w:color w:val="auto"/>
          <w:sz w:val="30"/>
          <w:szCs w:val="30"/>
          <w:highlight w:val="none"/>
        </w:rPr>
        <w:t>. 签订合同</w:t>
      </w:r>
    </w:p>
    <w:p w14:paraId="05716FB4">
      <w:pPr>
        <w:pageBreakBefore w:val="0"/>
        <w:widowControl w:val="0"/>
        <w:spacing w:line="360" w:lineRule="auto"/>
        <w:ind w:left="0" w:right="0" w:firstLine="600"/>
        <w:rPr>
          <w:rFonts w:hint="eastAsia" w:ascii="宋体" w:hAnsi="宋体"/>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color w:val="auto"/>
          <w:sz w:val="24"/>
          <w:szCs w:val="24"/>
          <w:highlight w:val="none"/>
        </w:rPr>
        <w:t>.l中标人应当在中标通知书发出之日起三十日内，按照招标文件确定的事项与采购人签订政府采购合同。</w:t>
      </w:r>
    </w:p>
    <w:p w14:paraId="3377FBA8">
      <w:pPr>
        <w:pageBreakBefore w:val="0"/>
        <w:widowControl w:val="0"/>
        <w:spacing w:line="360" w:lineRule="auto"/>
        <w:ind w:left="0" w:right="0"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招标文件、中标人的投标文件及招标过程中有关澄清、承诺文件均应作为合同附件。</w:t>
      </w:r>
    </w:p>
    <w:p w14:paraId="7FE00036">
      <w:pPr>
        <w:pageBreakBefore w:val="0"/>
        <w:widowControl w:val="0"/>
        <w:spacing w:line="360" w:lineRule="auto"/>
        <w:ind w:left="0" w:right="0" w:firstLine="600"/>
        <w:rPr>
          <w:rFonts w:hint="eastAsia" w:ascii="宋体" w:hAnsi="宋体"/>
          <w:color w:val="auto"/>
          <w:sz w:val="24"/>
          <w:szCs w:val="24"/>
          <w:highlight w:val="none"/>
        </w:rPr>
      </w:pPr>
      <w:r>
        <w:rPr>
          <w:rFonts w:hint="eastAsia" w:ascii="宋体" w:hAnsi="宋体"/>
          <w:color w:val="auto"/>
          <w:sz w:val="24"/>
          <w:szCs w:val="24"/>
          <w:highlight w:val="none"/>
        </w:rPr>
        <w:t>31.3 签订合同后</w:t>
      </w:r>
      <w:r>
        <w:rPr>
          <w:rFonts w:hint="eastAsia" w:ascii="宋体" w:hAnsi="宋体"/>
          <w:i w:val="0"/>
          <w:iCs w:val="0"/>
          <w:color w:val="auto"/>
          <w:sz w:val="24"/>
          <w:szCs w:val="24"/>
          <w:highlight w:val="none"/>
        </w:rPr>
        <w:t>，★</w:t>
      </w:r>
      <w:r>
        <w:rPr>
          <w:rFonts w:hint="eastAsia" w:ascii="宋体" w:hAnsi="宋体"/>
          <w:b/>
          <w:bCs/>
          <w:i w:val="0"/>
          <w:iCs w:val="0"/>
          <w:color w:val="auto"/>
          <w:sz w:val="24"/>
          <w:szCs w:val="24"/>
          <w:highlight w:val="none"/>
          <w:u w:val="single"/>
        </w:rPr>
        <w:t>中标人不得将合同标的进行转包</w:t>
      </w:r>
      <w:r>
        <w:rPr>
          <w:rFonts w:hint="eastAsia" w:ascii="宋体" w:hAnsi="宋体"/>
          <w:i w:val="0"/>
          <w:iCs w:val="0"/>
          <w:color w:val="auto"/>
          <w:sz w:val="24"/>
          <w:szCs w:val="24"/>
          <w:highlight w:val="none"/>
        </w:rPr>
        <w:t>。未经采购人同意，中标人也不得采用分包的形式履行合同，否则采购人有权终止合同。转包或分包造成采购人损失的，中标人应承担相应赔偿责任。</w:t>
      </w:r>
    </w:p>
    <w:p w14:paraId="1995FCF7">
      <w:pPr>
        <w:pStyle w:val="189"/>
        <w:pageBreakBefore w:val="0"/>
        <w:widowControl w:val="0"/>
        <w:spacing w:before="0" w:after="0" w:line="560" w:lineRule="exact"/>
        <w:ind w:firstLine="600"/>
        <w:rPr>
          <w:rFonts w:hint="eastAsia" w:ascii="黑体" w:hAnsi="宋体"/>
          <w:b w:val="0"/>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2</w:t>
      </w:r>
      <w:r>
        <w:rPr>
          <w:rFonts w:hint="eastAsia" w:ascii="黑体" w:hAnsi="宋体" w:eastAsia="黑体"/>
          <w:bCs/>
          <w:color w:val="auto"/>
          <w:sz w:val="30"/>
          <w:szCs w:val="30"/>
          <w:highlight w:val="none"/>
        </w:rPr>
        <w:t>、</w:t>
      </w:r>
      <w:r>
        <w:rPr>
          <w:rFonts w:hint="eastAsia" w:ascii="黑体" w:hAnsi="宋体"/>
          <w:b w:val="0"/>
          <w:color w:val="auto"/>
          <w:sz w:val="30"/>
          <w:szCs w:val="30"/>
          <w:highlight w:val="none"/>
        </w:rPr>
        <w:t>服务（包含与服务相关的货物）的追加</w:t>
      </w:r>
    </w:p>
    <w:p w14:paraId="25CF8F19">
      <w:pPr>
        <w:pageBreakBefore w:val="0"/>
        <w:widowControl w:val="0"/>
        <w:spacing w:line="360" w:lineRule="auto"/>
        <w:ind w:left="0" w:right="0" w:firstLine="600"/>
        <w:rPr>
          <w:rFonts w:hint="eastAsia" w:ascii="宋体" w:hAnsi="宋体" w:eastAsia="宋体" w:cs="Times New Roman"/>
          <w:i w:val="0"/>
          <w:iCs w:val="0"/>
          <w:color w:val="auto"/>
          <w:sz w:val="24"/>
          <w:szCs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Times New Roman"/>
          <w:i w:val="0"/>
          <w:iCs w:val="0"/>
          <w:color w:val="auto"/>
          <w:sz w:val="24"/>
          <w:szCs w:val="24"/>
          <w:highlight w:val="none"/>
        </w:rPr>
        <w:t>。</w:t>
      </w:r>
    </w:p>
    <w:bookmarkEnd w:id="222"/>
    <w:bookmarkEnd w:id="223"/>
    <w:bookmarkEnd w:id="224"/>
    <w:p w14:paraId="3C0C73BE">
      <w:pPr>
        <w:keepNext/>
        <w:keepLines/>
        <w:pageBreakBefore w:val="0"/>
        <w:widowControl w:val="0"/>
        <w:spacing w:line="360" w:lineRule="auto"/>
        <w:ind w:left="0" w:right="0" w:firstLine="600"/>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3</w:t>
      </w:r>
      <w:r>
        <w:rPr>
          <w:rFonts w:hint="eastAsia" w:ascii="黑体" w:hAnsi="宋体" w:eastAsia="黑体"/>
          <w:bCs/>
          <w:color w:val="auto"/>
          <w:sz w:val="30"/>
          <w:szCs w:val="30"/>
          <w:highlight w:val="none"/>
        </w:rPr>
        <w:t>、政府采购履约资金扶持政策</w:t>
      </w:r>
    </w:p>
    <w:p w14:paraId="03A8CA1E">
      <w:pPr>
        <w:pageBreakBefore w:val="0"/>
        <w:widowControl w:val="0"/>
        <w:spacing w:line="360" w:lineRule="auto"/>
        <w:ind w:left="0" w:right="0" w:firstLine="555"/>
        <w:rPr>
          <w:rFonts w:hint="eastAsia" w:ascii="宋体" w:hAnsi="宋体"/>
          <w:bCs/>
          <w:color w:val="auto"/>
          <w:sz w:val="24"/>
          <w:szCs w:val="24"/>
          <w:highlight w:val="none"/>
        </w:rPr>
      </w:pPr>
      <w:r>
        <w:rPr>
          <w:rFonts w:hint="eastAsia" w:ascii="宋体" w:hAnsi="宋体"/>
          <w:bCs/>
          <w:color w:val="auto"/>
          <w:sz w:val="24"/>
          <w:szCs w:val="24"/>
          <w:highlight w:val="none"/>
        </w:rPr>
        <w:t>中标</w:t>
      </w:r>
      <w:r>
        <w:rPr>
          <w:rFonts w:hint="eastAsia" w:ascii="宋体" w:hAnsi="宋体"/>
          <w:bCs/>
          <w:color w:val="auto"/>
          <w:sz w:val="24"/>
          <w:szCs w:val="24"/>
          <w:highlight w:val="none"/>
          <w:lang w:val="en-US" w:eastAsia="zh-CN"/>
        </w:rPr>
        <w:t>人</w:t>
      </w:r>
      <w:r>
        <w:rPr>
          <w:rFonts w:hint="eastAsia" w:ascii="宋体" w:hAnsi="宋体"/>
          <w:bCs/>
          <w:color w:val="auto"/>
          <w:sz w:val="24"/>
          <w:szCs w:val="24"/>
          <w:highlight w:val="none"/>
        </w:rPr>
        <w:t>可凭政府采购合同办理融资贷款，详情请见江苏政府采购网“政采贷”专栏。</w:t>
      </w:r>
    </w:p>
    <w:p w14:paraId="2A902C06">
      <w:pPr>
        <w:keepNext/>
        <w:keepLines/>
        <w:pageBreakBefore w:val="0"/>
        <w:widowControl w:val="0"/>
        <w:spacing w:line="360" w:lineRule="auto"/>
        <w:ind w:left="0" w:right="0" w:firstLine="321" w:firstLineChars="100"/>
        <w:outlineLvl w:val="2"/>
        <w:rPr>
          <w:rFonts w:ascii="Times New Roman" w:hAnsi="Times New Roman" w:eastAsia="宋体"/>
          <w:b/>
          <w:bCs/>
          <w:color w:val="auto"/>
          <w:sz w:val="32"/>
          <w:szCs w:val="32"/>
          <w:highlight w:val="none"/>
          <w:lang w:val="en-US" w:eastAsia="zh-CN"/>
        </w:rPr>
      </w:pPr>
      <w:bookmarkStart w:id="225" w:name="_Toc28632"/>
      <w:bookmarkStart w:id="226" w:name="_Toc1717"/>
      <w:bookmarkStart w:id="227" w:name="_Toc13962"/>
      <w:bookmarkStart w:id="228" w:name="_Toc27968"/>
      <w:r>
        <w:rPr>
          <w:rFonts w:hint="eastAsia" w:ascii="Times New Roman" w:hAnsi="Times New Roman"/>
          <w:b/>
          <w:bCs/>
          <w:color w:val="auto"/>
          <w:sz w:val="32"/>
          <w:szCs w:val="32"/>
          <w:highlight w:val="none"/>
          <w:lang w:val="en-US" w:eastAsia="zh-CN"/>
        </w:rPr>
        <w:t>八</w:t>
      </w:r>
      <w:r>
        <w:rPr>
          <w:rFonts w:hint="eastAsia" w:ascii="Times New Roman" w:hAnsi="Times New Roman"/>
          <w:b/>
          <w:bCs/>
          <w:color w:val="auto"/>
          <w:sz w:val="32"/>
          <w:szCs w:val="32"/>
          <w:highlight w:val="none"/>
        </w:rPr>
        <w:t>、</w:t>
      </w:r>
      <w:r>
        <w:rPr>
          <w:rFonts w:hint="eastAsia" w:ascii="Times New Roman" w:hAnsi="Times New Roman"/>
          <w:b/>
          <w:bCs/>
          <w:color w:val="auto"/>
          <w:sz w:val="32"/>
          <w:szCs w:val="32"/>
          <w:highlight w:val="none"/>
          <w:lang w:val="en-US" w:eastAsia="zh-CN"/>
        </w:rPr>
        <w:t>政策功能</w:t>
      </w:r>
      <w:bookmarkEnd w:id="225"/>
      <w:bookmarkEnd w:id="226"/>
      <w:bookmarkEnd w:id="227"/>
      <w:bookmarkEnd w:id="228"/>
    </w:p>
    <w:p w14:paraId="28F044AB">
      <w:pPr>
        <w:keepNext/>
        <w:keepLines/>
        <w:pageBreakBefore w:val="0"/>
        <w:widowControl w:val="0"/>
        <w:spacing w:line="360" w:lineRule="auto"/>
        <w:ind w:left="0" w:right="0" w:firstLine="600"/>
        <w:outlineLvl w:val="3"/>
        <w:rPr>
          <w:rFonts w:ascii="黑体" w:hAnsi="宋体" w:eastAsia="黑体"/>
          <w:bCs/>
          <w:color w:val="auto"/>
          <w:sz w:val="30"/>
          <w:szCs w:val="30"/>
          <w:highlight w:val="none"/>
          <w:lang w:val="en-US" w:eastAsia="zh-CN"/>
        </w:rPr>
      </w:pPr>
      <w:r>
        <w:rPr>
          <w:rFonts w:hint="eastAsia" w:ascii="黑体" w:hAnsi="宋体" w:eastAsia="黑体"/>
          <w:bCs/>
          <w:color w:val="auto"/>
          <w:sz w:val="30"/>
          <w:szCs w:val="30"/>
          <w:highlight w:val="none"/>
        </w:rPr>
        <w:t>3</w:t>
      </w:r>
      <w:r>
        <w:rPr>
          <w:rFonts w:hint="eastAsia" w:ascii="黑体" w:hAnsi="宋体" w:eastAsia="黑体"/>
          <w:bCs/>
          <w:color w:val="auto"/>
          <w:sz w:val="30"/>
          <w:szCs w:val="30"/>
          <w:highlight w:val="none"/>
          <w:lang w:val="en-US" w:eastAsia="zh-CN"/>
        </w:rPr>
        <w:t>4</w:t>
      </w:r>
      <w:r>
        <w:rPr>
          <w:rFonts w:hint="eastAsia" w:ascii="黑体" w:hAnsi="宋体" w:eastAsia="黑体"/>
          <w:bCs/>
          <w:color w:val="auto"/>
          <w:sz w:val="30"/>
          <w:szCs w:val="30"/>
          <w:highlight w:val="none"/>
        </w:rPr>
        <w:t>、</w:t>
      </w:r>
      <w:r>
        <w:rPr>
          <w:rFonts w:hint="eastAsia" w:ascii="黑体" w:hAnsi="宋体" w:eastAsia="黑体"/>
          <w:bCs/>
          <w:color w:val="auto"/>
          <w:sz w:val="30"/>
          <w:szCs w:val="30"/>
          <w:highlight w:val="none"/>
          <w:lang w:val="en-US" w:eastAsia="zh-CN"/>
        </w:rPr>
        <w:t>落实的政府采购政策</w:t>
      </w:r>
    </w:p>
    <w:p w14:paraId="0B33C10D">
      <w:pPr>
        <w:pageBreakBefore w:val="0"/>
        <w:widowControl w:val="0"/>
        <w:spacing w:line="560" w:lineRule="exact"/>
        <w:ind w:firstLine="480"/>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rPr>
        <w:t>34.1</w:t>
      </w:r>
      <w:r>
        <w:rPr>
          <w:rFonts w:hint="eastAsia" w:ascii="宋体" w:hAnsi="宋体"/>
          <w:color w:val="auto"/>
          <w:sz w:val="24"/>
          <w:highlight w:val="none"/>
        </w:rPr>
        <w:t>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6C5F9FBF">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p>
    <w:p w14:paraId="3E9507B1">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在服务采购项目中，服务由中小企业承接，即提供服务的人员为中小企业依照《中华人民共和国劳动合同法》订立劳动合同的从业人员。</w:t>
      </w:r>
    </w:p>
    <w:p w14:paraId="6DC27A74">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中小企业参加政府采购活动，应当出具本办法规定的《中小企业声明函》，否则不得享受相关中小企业扶持政策。投标文件中提供《中小企业声明函》，否则不予认可。</w:t>
      </w:r>
    </w:p>
    <w:p w14:paraId="49E1D7E7">
      <w:pPr>
        <w:pageBreakBefore w:val="0"/>
        <w:widowControl w:val="0"/>
        <w:spacing w:line="560" w:lineRule="exact"/>
        <w:ind w:firstLine="480"/>
        <w:rPr>
          <w:rFonts w:hint="eastAsia" w:ascii="宋体" w:hAnsi="宋体"/>
          <w:b/>
          <w:bCs/>
          <w:color w:val="auto"/>
          <w:sz w:val="24"/>
          <w:szCs w:val="24"/>
          <w:highlight w:val="none"/>
        </w:rPr>
      </w:pPr>
      <w:r>
        <w:rPr>
          <w:rFonts w:hint="eastAsia" w:ascii="宋体" w:hAnsi="宋体" w:eastAsia="宋体" w:cs="Times New Roman"/>
          <w:color w:val="auto"/>
          <w:sz w:val="24"/>
          <w:szCs w:val="24"/>
          <w:highlight w:val="none"/>
          <w:lang w:val="en-US" w:eastAsia="zh-CN"/>
        </w:rPr>
        <w:t>34.2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p>
    <w:p w14:paraId="3EF7CF33">
      <w:pPr>
        <w:pageBreakBefore w:val="0"/>
        <w:widowControl w:val="0"/>
        <w:spacing w:line="56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（1）供应商为小型企业、微型企业的，提供《小</w:t>
      </w:r>
      <w:r>
        <w:rPr>
          <w:rFonts w:hint="eastAsia" w:ascii="宋体" w:hAnsi="宋体"/>
          <w:b/>
          <w:bCs/>
          <w:color w:val="auto"/>
          <w:sz w:val="24"/>
          <w:szCs w:val="24"/>
          <w:highlight w:val="none"/>
          <w:lang w:val="en-US" w:eastAsia="zh-CN"/>
        </w:rPr>
        <w:t>微</w:t>
      </w:r>
      <w:r>
        <w:rPr>
          <w:rFonts w:hint="eastAsia" w:ascii="宋体" w:hAnsi="宋体"/>
          <w:b/>
          <w:bCs/>
          <w:color w:val="auto"/>
          <w:sz w:val="24"/>
          <w:szCs w:val="24"/>
          <w:highlight w:val="none"/>
        </w:rPr>
        <w:t>企业声明函》（第六章 投标文件格式）。</w:t>
      </w:r>
    </w:p>
    <w:p w14:paraId="7A2D8A4B">
      <w:pPr>
        <w:pageBreakBefore w:val="0"/>
        <w:widowControl w:val="0"/>
        <w:spacing w:line="56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（2）残疾人福利性单位视同小型、微型企业，提供《残疾人福利性单位声明函》（第六章 投标文件格式）。</w:t>
      </w:r>
    </w:p>
    <w:p w14:paraId="1389C70E">
      <w:pPr>
        <w:pageBreakBefore w:val="0"/>
        <w:widowControl w:val="0"/>
        <w:spacing w:line="56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12293882">
      <w:pPr>
        <w:pageBreakBefore w:val="0"/>
        <w:widowControl w:val="0"/>
        <w:spacing w:line="56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（4）供应商按照本办法规定提供声明函内容不实的，属于提供虚假材料谋取中标、成交，依照《中华人民共和国政府采购法》等国家有关规定追究相应责任。</w:t>
      </w:r>
    </w:p>
    <w:p w14:paraId="52EAF2FC">
      <w:pPr>
        <w:keepNext/>
        <w:keepLines/>
        <w:pageBreakBefore w:val="0"/>
        <w:widowControl w:val="0"/>
        <w:spacing w:line="560" w:lineRule="exact"/>
        <w:ind w:firstLine="600"/>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hint="eastAsia" w:ascii="黑体" w:hAnsi="宋体" w:eastAsia="黑体"/>
          <w:bCs/>
          <w:color w:val="auto"/>
          <w:sz w:val="30"/>
          <w:szCs w:val="30"/>
          <w:highlight w:val="none"/>
          <w:lang w:val="en-US" w:eastAsia="zh-CN"/>
        </w:rPr>
        <w:t>5</w:t>
      </w:r>
      <w:r>
        <w:rPr>
          <w:rFonts w:hint="eastAsia" w:ascii="黑体" w:hAnsi="宋体" w:eastAsia="黑体"/>
          <w:bCs/>
          <w:color w:val="auto"/>
          <w:sz w:val="30"/>
          <w:szCs w:val="30"/>
          <w:highlight w:val="none"/>
        </w:rPr>
        <w:t>、支持绿色发展</w:t>
      </w:r>
    </w:p>
    <w:p w14:paraId="4F0D3FDC">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olor w:val="auto"/>
          <w:sz w:val="24"/>
          <w:highlight w:val="none"/>
          <w:lang w:eastAsia="zh-CN"/>
        </w:rPr>
        <w:t>供应商</w:t>
      </w:r>
      <w:r>
        <w:rPr>
          <w:rFonts w:hint="eastAsia" w:ascii="宋体" w:hAnsi="宋体"/>
          <w:color w:val="auto"/>
          <w:sz w:val="24"/>
          <w:highlight w:val="none"/>
        </w:rPr>
        <w:t>须按招标文件要求提供相关产品认证证书。</w:t>
      </w:r>
    </w:p>
    <w:p w14:paraId="266F612B">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.2为助力打好污染防治攻坚战，严格执行绿色采购需求标准。推广使用绿色包装，政府采购货物、工程和服务项目中涉及商品包装、快递包装、绿色数据中心的，</w:t>
      </w:r>
      <w:r>
        <w:rPr>
          <w:rFonts w:hint="eastAsia" w:ascii="宋体" w:hAnsi="宋体"/>
          <w:color w:val="auto"/>
          <w:sz w:val="24"/>
          <w:highlight w:val="none"/>
          <w:lang w:eastAsia="zh-CN"/>
        </w:rPr>
        <w:t>供应商</w:t>
      </w:r>
      <w:r>
        <w:rPr>
          <w:rFonts w:hint="eastAsia" w:ascii="宋体" w:hAnsi="宋体"/>
          <w:color w:val="auto"/>
          <w:sz w:val="24"/>
          <w:highlight w:val="none"/>
        </w:rPr>
        <w:t>提供产品及相关快递服务的具体包装等要求要参考《商品包装政府采购需求标准（试行）》《快递包装政府采购需求标准（试行）》《绿色数据中心政府采购需求标准（试行）》。</w:t>
      </w:r>
    </w:p>
    <w:p w14:paraId="4E32CE49">
      <w:pPr>
        <w:pageBreakBefore w:val="0"/>
        <w:widowControl w:val="0"/>
        <w:spacing w:line="56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.3落实挥发性有机化合物（VOCs）治理要求，政府采购项目中涉及涂料、胶黏剂、油墨、清洗剂等挥发性有机物产品的，属于强制性标准的，</w:t>
      </w:r>
      <w:r>
        <w:rPr>
          <w:rFonts w:hint="eastAsia" w:ascii="宋体" w:hAnsi="宋体"/>
          <w:color w:val="auto"/>
          <w:sz w:val="24"/>
          <w:highlight w:val="none"/>
          <w:lang w:eastAsia="zh-CN"/>
        </w:rPr>
        <w:t>供应商</w:t>
      </w:r>
      <w:r>
        <w:rPr>
          <w:rFonts w:hint="eastAsia" w:ascii="宋体" w:hAnsi="宋体"/>
          <w:color w:val="auto"/>
          <w:sz w:val="24"/>
          <w:highlight w:val="none"/>
        </w:rPr>
        <w:t>须执行国家和我省 VOCs含量限制标准；</w:t>
      </w:r>
      <w:r>
        <w:rPr>
          <w:rFonts w:hint="eastAsia" w:ascii="宋体" w:hAnsi="宋体"/>
          <w:color w:val="auto"/>
          <w:sz w:val="24"/>
          <w:highlight w:val="none"/>
          <w:lang w:eastAsia="zh-CN"/>
        </w:rPr>
        <w:t>供应商</w:t>
      </w:r>
      <w:r>
        <w:rPr>
          <w:rFonts w:hint="eastAsia" w:ascii="宋体" w:hAnsi="宋体"/>
          <w:color w:val="auto"/>
          <w:sz w:val="24"/>
          <w:highlight w:val="none"/>
        </w:rPr>
        <w:t>优先使用低挥发性原辅材料，将使用低 VOCs 含量的涂料、胶黏剂等纳入政府采购合同条款。</w:t>
      </w:r>
    </w:p>
    <w:p w14:paraId="771FF821">
      <w:pPr>
        <w:keepNext/>
        <w:keepLines/>
        <w:pageBreakBefore w:val="0"/>
        <w:widowControl w:val="0"/>
        <w:spacing w:line="560" w:lineRule="exact"/>
        <w:ind w:firstLine="560"/>
        <w:jc w:val="left"/>
        <w:outlineLvl w:val="3"/>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3</w:t>
      </w:r>
      <w:r>
        <w:rPr>
          <w:rFonts w:hint="eastAsia" w:ascii="黑体" w:hAnsi="宋体" w:eastAsia="黑体"/>
          <w:bCs/>
          <w:color w:val="auto"/>
          <w:sz w:val="28"/>
          <w:szCs w:val="28"/>
          <w:highlight w:val="none"/>
          <w:lang w:val="en-US" w:eastAsia="zh-CN"/>
        </w:rPr>
        <w:t>6</w:t>
      </w:r>
      <w:r>
        <w:rPr>
          <w:rFonts w:hint="eastAsia" w:ascii="黑体" w:hAnsi="宋体" w:eastAsia="黑体"/>
          <w:bCs/>
          <w:color w:val="auto"/>
          <w:sz w:val="28"/>
          <w:szCs w:val="28"/>
          <w:highlight w:val="none"/>
        </w:rPr>
        <w:t>、政府采购需求标准</w:t>
      </w:r>
    </w:p>
    <w:p w14:paraId="46442A78">
      <w:pPr>
        <w:pageBreakBefore w:val="0"/>
        <w:widowControl w:val="0"/>
        <w:spacing w:line="56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ECBF1C1">
      <w:pPr>
        <w:spacing w:line="360" w:lineRule="auto"/>
        <w:ind w:firstLine="480"/>
        <w:rPr>
          <w:rFonts w:hint="eastAsia" w:ascii="宋体" w:hAnsi="宋体"/>
          <w:color w:val="auto"/>
          <w:sz w:val="24"/>
          <w:highlight w:val="none"/>
        </w:rPr>
      </w:pPr>
    </w:p>
    <w:p w14:paraId="2F864253">
      <w:pPr>
        <w:pStyle w:val="185"/>
        <w:rPr>
          <w:rFonts w:hint="eastAsia" w:ascii="黑体" w:eastAsia="黑体"/>
          <w:bCs/>
          <w:color w:val="auto"/>
          <w:sz w:val="44"/>
          <w:highlight w:val="none"/>
        </w:rPr>
      </w:pPr>
      <w:r>
        <w:rPr>
          <w:rFonts w:hint="eastAsia" w:ascii="黑体" w:eastAsia="黑体"/>
          <w:bCs/>
          <w:color w:val="auto"/>
          <w:sz w:val="44"/>
          <w:highlight w:val="none"/>
        </w:rPr>
        <w:br w:type="page" w:clear="all"/>
      </w:r>
      <w:bookmarkStart w:id="229" w:name="_Toc20997"/>
      <w:bookmarkStart w:id="230" w:name="_Toc20691"/>
      <w:r>
        <w:rPr>
          <w:rFonts w:hint="eastAsia" w:ascii="黑体" w:eastAsia="黑体"/>
          <w:color w:val="auto"/>
          <w:sz w:val="44"/>
          <w:szCs w:val="44"/>
          <w:highlight w:val="none"/>
        </w:rPr>
        <w:t>第三章  合同</w:t>
      </w:r>
      <w:bookmarkEnd w:id="147"/>
      <w:bookmarkEnd w:id="148"/>
      <w:bookmarkEnd w:id="149"/>
      <w:bookmarkEnd w:id="150"/>
      <w:bookmarkEnd w:id="151"/>
      <w:r>
        <w:rPr>
          <w:rFonts w:hint="eastAsia" w:ascii="黑体" w:eastAsia="黑体"/>
          <w:color w:val="auto"/>
          <w:sz w:val="44"/>
          <w:szCs w:val="44"/>
          <w:highlight w:val="none"/>
        </w:rPr>
        <w:t>文本</w:t>
      </w:r>
      <w:bookmarkEnd w:id="229"/>
      <w:bookmarkEnd w:id="230"/>
    </w:p>
    <w:p w14:paraId="34FE458D">
      <w:pPr>
        <w:spacing w:line="500" w:lineRule="exact"/>
        <w:ind w:firstLine="480"/>
        <w:jc w:val="left"/>
        <w:rPr>
          <w:rFonts w:hint="eastAsia" w:ascii="宋体" w:hAnsi="宋体" w:eastAsia="宋体" w:cs="宋体"/>
          <w:color w:val="auto"/>
          <w:sz w:val="24"/>
          <w:szCs w:val="24"/>
          <w:highlight w:val="none"/>
        </w:rPr>
      </w:pPr>
      <w:bookmarkStart w:id="231" w:name="_Hlt16619369"/>
      <w:bookmarkEnd w:id="231"/>
      <w:bookmarkStart w:id="232" w:name="_Hlt16619350"/>
      <w:bookmarkStart w:id="233" w:name="_Toc120614244"/>
      <w:bookmarkStart w:id="234" w:name="_Toc20823346"/>
      <w:bookmarkStart w:id="235" w:name="_Toc16938590"/>
      <w:bookmarkStart w:id="236" w:name="_Toc462564139"/>
      <w:bookmarkStart w:id="237" w:name="_Toc479757211"/>
    </w:p>
    <w:p w14:paraId="4415A583">
      <w:pPr>
        <w:spacing w:line="500" w:lineRule="exact"/>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连云港市政府采购合同（服务）</w:t>
      </w:r>
    </w:p>
    <w:p w14:paraId="5AB6F1A2">
      <w:pPr>
        <w:spacing w:line="500" w:lineRule="exact"/>
        <w:jc w:val="center"/>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（合同编号：</w:t>
      </w:r>
      <w:r>
        <w:rPr>
          <w:rFonts w:hint="eastAsia" w:ascii="宋体" w:hAnsi="宋体" w:cs="宋体"/>
          <w:color w:val="auto"/>
          <w:sz w:val="28"/>
          <w:szCs w:val="24"/>
          <w:highlight w:val="none"/>
          <w:lang w:val="en-US" w:eastAsia="zh-CN"/>
        </w:rPr>
        <w:t xml:space="preserve">        </w:t>
      </w:r>
      <w:r>
        <w:rPr>
          <w:rFonts w:hint="eastAsia" w:ascii="宋体" w:hAnsi="宋体" w:eastAsia="宋体" w:cs="宋体"/>
          <w:color w:val="auto"/>
          <w:sz w:val="28"/>
          <w:szCs w:val="24"/>
          <w:highlight w:val="none"/>
        </w:rPr>
        <w:t>）</w:t>
      </w:r>
    </w:p>
    <w:p w14:paraId="4104030B">
      <w:pPr>
        <w:spacing w:line="360" w:lineRule="auto"/>
        <w:ind w:firstLine="480" w:firstLineChars="200"/>
        <w:rPr>
          <w:rFonts w:hint="eastAsia" w:ascii="宋体" w:hAnsi="宋体" w:eastAsia="宋体" w:cs="宋体"/>
          <w:b w:val="0"/>
          <w:bCs/>
          <w:color w:val="auto"/>
          <w:sz w:val="24"/>
          <w:szCs w:val="24"/>
          <w:highlight w:val="none"/>
        </w:rPr>
      </w:pPr>
      <w:bookmarkStart w:id="238" w:name="_Toc513029243"/>
      <w:bookmarkStart w:id="239" w:name="_Toc16938559"/>
      <w:bookmarkStart w:id="240" w:name="_Toc20823315"/>
      <w:r>
        <w:rPr>
          <w:rFonts w:hint="eastAsia" w:ascii="宋体" w:hAnsi="宋体" w:eastAsia="宋体" w:cs="宋体"/>
          <w:b w:val="0"/>
          <w:bCs/>
          <w:color w:val="auto"/>
          <w:sz w:val="24"/>
          <w:szCs w:val="24"/>
          <w:highlight w:val="none"/>
        </w:rPr>
        <w:t>以下为中标后</w:t>
      </w:r>
      <w:r>
        <w:rPr>
          <w:rFonts w:hint="eastAsia" w:ascii="宋体" w:hAnsi="宋体" w:cs="宋体"/>
          <w:b w:val="0"/>
          <w:bCs/>
          <w:color w:val="auto"/>
          <w:sz w:val="24"/>
          <w:szCs w:val="24"/>
          <w:highlight w:val="none"/>
          <w:lang w:eastAsia="zh-CN"/>
        </w:rPr>
        <w:t>签订</w:t>
      </w:r>
      <w:r>
        <w:rPr>
          <w:rFonts w:hint="eastAsia" w:ascii="宋体" w:hAnsi="宋体" w:eastAsia="宋体" w:cs="宋体"/>
          <w:b w:val="0"/>
          <w:bCs/>
          <w:color w:val="auto"/>
          <w:sz w:val="24"/>
          <w:szCs w:val="24"/>
          <w:highlight w:val="none"/>
        </w:rPr>
        <w:t>本项目合同的通用条款，采购人与中标人应按此签订采购合同。中标人不得提出实质性的修改，关于专用条款将由采购人与中标人结合本项目具体情况协商后签订。</w:t>
      </w:r>
    </w:p>
    <w:bookmarkEnd w:id="238"/>
    <w:bookmarkEnd w:id="239"/>
    <w:bookmarkEnd w:id="240"/>
    <w:p w14:paraId="2101DB79">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甲方：</w:t>
      </w:r>
    </w:p>
    <w:p w14:paraId="31A5D42E">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 </w:t>
      </w:r>
    </w:p>
    <w:p w14:paraId="48D4E453">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甲乙双方就乙方为甲方</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服务，协商一致，签订年度合同。</w:t>
      </w:r>
    </w:p>
    <w:p w14:paraId="02C01FF1">
      <w:pPr>
        <w:shd w:val="clear" w:color="auto" w:fill="FFFFFF"/>
        <w:snapToGrid w:val="0"/>
        <w:spacing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一、承运工具及用途</w:t>
      </w:r>
      <w:r>
        <w:rPr>
          <w:rFonts w:hint="eastAsia" w:ascii="宋体" w:hAnsi="宋体" w:cs="宋体"/>
          <w:b w:val="0"/>
          <w:bCs/>
          <w:color w:val="auto"/>
          <w:sz w:val="24"/>
          <w:szCs w:val="24"/>
          <w:highlight w:val="none"/>
          <w:lang w:eastAsia="zh-CN"/>
        </w:rPr>
        <w:t>：</w:t>
      </w:r>
    </w:p>
    <w:p w14:paraId="146DDE86">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p>
    <w:p w14:paraId="58259463">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二、 服务要求</w:t>
      </w:r>
    </w:p>
    <w:p w14:paraId="41B68435">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1、乙方及时进行设备的维护</w:t>
      </w:r>
      <w:r>
        <w:rPr>
          <w:rFonts w:hint="eastAsia" w:ascii="宋体" w:hAnsi="宋体" w:cs="宋体"/>
          <w:b w:val="0"/>
          <w:color w:val="auto"/>
          <w:sz w:val="24"/>
          <w:szCs w:val="24"/>
          <w:highlight w:val="none"/>
          <w:lang w:eastAsia="zh-CN"/>
        </w:rPr>
        <w:t>，</w:t>
      </w:r>
      <w:r>
        <w:rPr>
          <w:rFonts w:hint="eastAsia" w:ascii="宋体" w:hAnsi="宋体" w:eastAsia="宋体" w:cs="宋体"/>
          <w:b w:val="0"/>
          <w:color w:val="auto"/>
          <w:sz w:val="24"/>
          <w:szCs w:val="24"/>
          <w:highlight w:val="none"/>
        </w:rPr>
        <w:t>无安全隐患</w:t>
      </w:r>
      <w:r>
        <w:rPr>
          <w:rFonts w:hint="eastAsia" w:ascii="宋体" w:hAnsi="宋体" w:cs="宋体"/>
          <w:b w:val="0"/>
          <w:color w:val="auto"/>
          <w:sz w:val="24"/>
          <w:szCs w:val="24"/>
          <w:highlight w:val="none"/>
          <w:lang w:eastAsia="zh-CN"/>
        </w:rPr>
        <w:t>，</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运行完好率100%。</w:t>
      </w:r>
    </w:p>
    <w:p w14:paraId="63B46778">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2、乙方确保安全行驶，无事故；如发生意外事件，乙方应做到反应迅速、处理得当，使损失降低到最低。</w:t>
      </w:r>
    </w:p>
    <w:p w14:paraId="5E4BBEB8">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3、乙方确保服务准时、承运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整洁、卫生。</w:t>
      </w:r>
    </w:p>
    <w:p w14:paraId="0A1609FB">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4、乙方需要根据甲方需求情况进行车辆数量和车次运行时间的调配。</w:t>
      </w:r>
    </w:p>
    <w:p w14:paraId="37D60F5A">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5、其他要求：</w:t>
      </w:r>
    </w:p>
    <w:p w14:paraId="70E757E0">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三</w:t>
      </w:r>
      <w:r>
        <w:rPr>
          <w:rFonts w:hint="eastAsia" w:ascii="宋体" w:hAnsi="宋体" w:eastAsia="宋体" w:cs="宋体"/>
          <w:b w:val="0"/>
          <w:bCs/>
          <w:color w:val="auto"/>
          <w:sz w:val="24"/>
          <w:szCs w:val="24"/>
          <w:highlight w:val="none"/>
        </w:rPr>
        <w:t>、合同价款及结算方式</w:t>
      </w:r>
    </w:p>
    <w:p w14:paraId="0147AE37">
      <w:pPr>
        <w:pStyle w:val="46"/>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1、本合同价款：</w:t>
      </w:r>
      <w:r>
        <w:rPr>
          <w:rFonts w:hint="eastAsia" w:ascii="宋体" w:hAnsi="宋体" w:cs="宋体"/>
          <w:bCs/>
          <w:color w:val="auto"/>
          <w:sz w:val="24"/>
          <w:szCs w:val="24"/>
          <w:highlight w:val="none"/>
          <w:lang w:val="en-US" w:eastAsia="zh-CN"/>
        </w:rPr>
        <w:t>暂定</w:t>
      </w:r>
      <w:r>
        <w:rPr>
          <w:rFonts w:hint="eastAsia" w:ascii="宋体" w:hAnsi="宋体" w:eastAsia="宋体" w:cs="宋体"/>
          <w:bCs/>
          <w:color w:val="auto"/>
          <w:sz w:val="24"/>
          <w:szCs w:val="24"/>
          <w:highlight w:val="none"/>
          <w:lang w:eastAsia="zh-CN"/>
        </w:rPr>
        <w:t>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元整</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按实际使用数量乘以单价结算</w:t>
      </w:r>
      <w:r>
        <w:rPr>
          <w:rFonts w:hint="eastAsia" w:ascii="宋体" w:hAnsi="宋体" w:eastAsia="宋体" w:cs="宋体"/>
          <w:bCs/>
          <w:color w:val="auto"/>
          <w:sz w:val="24"/>
          <w:szCs w:val="24"/>
          <w:highlight w:val="none"/>
          <w:lang w:eastAsia="zh-CN"/>
        </w:rPr>
        <w:t>。</w:t>
      </w:r>
    </w:p>
    <w:p w14:paraId="0D290F28">
      <w:pPr>
        <w:snapToGrid w:val="0"/>
        <w:spacing w:line="5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2、付款方式：</w:t>
      </w:r>
      <w:r>
        <w:rPr>
          <w:rFonts w:hint="eastAsia" w:ascii="宋体" w:hAnsi="宋体" w:cs="宋体"/>
          <w:b/>
          <w:bCs/>
          <w:color w:val="auto"/>
          <w:sz w:val="24"/>
          <w:szCs w:val="24"/>
          <w:highlight w:val="none"/>
          <w:u w:val="single"/>
          <w:lang w:eastAsia="zh-CN"/>
        </w:rPr>
        <w:t>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p>
    <w:p w14:paraId="672DFEE0">
      <w:pPr>
        <w:pStyle w:val="46"/>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3、乙方应对其指定的下列账户信息的真实性、安全性、准确性负责。</w:t>
      </w:r>
    </w:p>
    <w:p w14:paraId="3DA9996C">
      <w:pPr>
        <w:pStyle w:val="46"/>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公司全称： </w:t>
      </w:r>
    </w:p>
    <w:p w14:paraId="01D0F623">
      <w:pPr>
        <w:pStyle w:val="46"/>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开户银行：</w:t>
      </w:r>
    </w:p>
    <w:p w14:paraId="0EE5D0AB">
      <w:pPr>
        <w:pStyle w:val="46"/>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银行账号</w:t>
      </w:r>
      <w:r>
        <w:rPr>
          <w:rFonts w:hint="eastAsia" w:ascii="宋体" w:hAnsi="宋体" w:eastAsia="宋体" w:cs="宋体"/>
          <w:bCs/>
          <w:color w:val="auto"/>
          <w:sz w:val="24"/>
          <w:szCs w:val="24"/>
          <w:highlight w:val="none"/>
          <w:lang w:eastAsia="zh-CN"/>
        </w:rPr>
        <w:t>：</w:t>
      </w:r>
    </w:p>
    <w:p w14:paraId="60BEFC61">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五、履行期限：</w:t>
      </w:r>
      <w:r>
        <w:rPr>
          <w:rFonts w:hint="eastAsia" w:ascii="宋体" w:hAnsi="宋体" w:eastAsia="宋体" w:cs="宋体"/>
          <w:b w:val="0"/>
          <w:color w:val="auto"/>
          <w:sz w:val="24"/>
          <w:szCs w:val="24"/>
          <w:highlight w:val="none"/>
        </w:rPr>
        <w:t>合同期限两年：自</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 年 月 日至 </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年 月 日。合同履行</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年    </w:t>
      </w:r>
      <w:r>
        <w:rPr>
          <w:rFonts w:hint="eastAsia" w:ascii="宋体" w:hAnsi="宋体" w:eastAsia="宋体" w:cs="宋体"/>
          <w:b w:val="0"/>
          <w:bCs/>
          <w:color w:val="auto"/>
          <w:sz w:val="24"/>
          <w:szCs w:val="24"/>
          <w:highlight w:val="none"/>
        </w:rPr>
        <w:t>六、双方的权利和义务</w:t>
      </w:r>
    </w:p>
    <w:p w14:paraId="455A2D63">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eastAsia="宋体" w:cs="宋体"/>
          <w:b w:val="0"/>
          <w:bCs/>
          <w:color w:val="auto"/>
          <w:sz w:val="24"/>
          <w:szCs w:val="24"/>
          <w:highlight w:val="none"/>
        </w:rPr>
        <w:t>甲方的权利和义务</w:t>
      </w:r>
    </w:p>
    <w:p w14:paraId="4817ADCC">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(1)根据需要指定承运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行驶区域、路线、站点设置和时间。</w:t>
      </w:r>
    </w:p>
    <w:p w14:paraId="7218C7AF">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(2)甲方如需法定节假日用车（包括公休和节假日）或者因特殊情况需延长服务时间等，应提前通知乙方，相关费用不变。</w:t>
      </w:r>
    </w:p>
    <w:p w14:paraId="7D9DE807">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(3)检查乙方承运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状况，并对其服务进行监督，对不符合约定的有权要求乙方整改、更换驾驶人员或承运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w:t>
      </w:r>
    </w:p>
    <w:p w14:paraId="27976FBB">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(4)有权参与客运过程中发生事故的调查处理。</w:t>
      </w:r>
    </w:p>
    <w:p w14:paraId="50915B8D">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(5)按合同约定支付合同价款。</w:t>
      </w:r>
    </w:p>
    <w:p w14:paraId="35AEE3A9">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r>
        <w:rPr>
          <w:rFonts w:hint="eastAsia" w:ascii="宋体" w:hAnsi="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)甲方有权对乙方车辆委托 4S 店或其他部门进行车况审查。有权查验乙方的运营手续（含保险、证照），有权对不称职或违反招标人规章制度的驾驶员进行教育、批评，并有权向乙方提出更换。</w:t>
      </w:r>
    </w:p>
    <w:p w14:paraId="28054D83">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2、乙方的权利和义务</w:t>
      </w:r>
    </w:p>
    <w:p w14:paraId="3558C9C2">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(1)遵守国家有关法律、法规和甲方关于运输服务</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的安全管理规定。</w:t>
      </w:r>
    </w:p>
    <w:p w14:paraId="71E18899">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(2)按合同约定提供安全、优质的客运服务，严格执行甲方指定的时间、行驶区域、路线、站点设置，保证按时按点、安全运行，不影响甲方正常工作。</w:t>
      </w:r>
    </w:p>
    <w:p w14:paraId="75E92DA2">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 乙方自行承担车辆运行的司机工资、燃料、保险、安全、停车费等费用，并根据甲方要求购买交强险、第三者责任险、车上人员责任险（含乘客和驾驶员）和不计免赔险），以及乙方投标时承诺购买的其他险种。发生交通事故，依法处理。</w:t>
      </w:r>
    </w:p>
    <w:p w14:paraId="253B6F39">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(4)乙方确保其司机用真实、有效的驾驶证，并熟悉《中华人民共和国道路交通安全法》的相关内容。司机应保持仪表整洁，服务周到，语言礼貌。</w:t>
      </w:r>
    </w:p>
    <w:p w14:paraId="2CE4105E">
      <w:pPr>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    (5)乙方司机要确保行车安全和优质服务，并根据天气变化要随时开动冷暖设备保证适宜的车内温度。</w:t>
      </w:r>
    </w:p>
    <w:p w14:paraId="322FDE94">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(6)乙方须保持车辆状况良好，干净整洁、车内无异味，定期对坐垫、靠背等设施清洗、消毒，备箱无杂物，车、司机证照及税费齐全有效，车内各种设施功能正常。签订合同时及服务期内每年提供有效证件含车辆合格证、</w:t>
      </w:r>
      <w:r>
        <w:rPr>
          <w:rFonts w:hint="eastAsia" w:ascii="宋体" w:hAnsi="宋体" w:cs="宋体"/>
          <w:b w:val="0"/>
          <w:color w:val="auto"/>
          <w:sz w:val="24"/>
          <w:szCs w:val="24"/>
          <w:highlight w:val="none"/>
          <w:lang w:val="en-US" w:eastAsia="zh-CN"/>
        </w:rPr>
        <w:t>车辆安全检测报告、</w:t>
      </w:r>
      <w:r>
        <w:rPr>
          <w:rFonts w:hint="eastAsia" w:ascii="宋体" w:hAnsi="宋体" w:eastAsia="宋体" w:cs="宋体"/>
          <w:b w:val="0"/>
          <w:color w:val="auto"/>
          <w:sz w:val="24"/>
          <w:szCs w:val="24"/>
          <w:highlight w:val="none"/>
        </w:rPr>
        <w:t>车辆行驶证、投保单据、驾驶人员驾驶证等相关资料复印件，否则甲方有权无条件单方解除合同。</w:t>
      </w:r>
      <w:r>
        <w:rPr>
          <w:rFonts w:hint="eastAsia" w:ascii="宋体" w:hAnsi="宋体" w:cs="宋体"/>
          <w:b w:val="0"/>
          <w:color w:val="auto"/>
          <w:sz w:val="24"/>
          <w:szCs w:val="24"/>
          <w:highlight w:val="none"/>
          <w:lang w:val="en-US" w:eastAsia="zh-CN"/>
        </w:rPr>
        <w:t>所有车辆安装GPS，车辆中标后要录入徐圩新区公车平台。</w:t>
      </w:r>
    </w:p>
    <w:p w14:paraId="05A81477">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(7)车辆在行驶当中出现事故、故障及其他非自然灾害因素不能按合同约定提供服务时，乙方应及时通知甲方负责人并迅速调配不低于同档次车辆顶替以保证甲方人员正常用车需求。如30分钟后仍无车到达，甲方可使用其他第三方车辆完成需求，费用由乙方承担，甲方不予支付该次服务费用。乙方司机不属于甲方工作人员，在工作期间，由于乙方司机的言行对第三者造成的不良影响或损失，由乙方承担全部责任。</w:t>
      </w:r>
    </w:p>
    <w:p w14:paraId="7B3471BD">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(8)如果在乘客运输过程中出现任何事故导致发生任何财产损失或人身伤亡时，乙方必须承担因此造成的一切后果。乙方应就上述损害或索赔责任购买中国的保险公司所能提供的相应保险，并且如该保险公司的赔付不足以补偿损失时，乙方应承担支付余额的责任。</w:t>
      </w:r>
    </w:p>
    <w:p w14:paraId="268FC84B">
      <w:pPr>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车辆的保管、维护保养由乙方负责，因车辆年检、维修等停驶时，乙方应安排不低于同档次车辆顶替；如果毁损、丢失或其他形式的灭失，甲方不承担任何责任，且乙方应及时安排不低于同档次车辆接送乘客前往目的地。</w:t>
      </w:r>
    </w:p>
    <w:p w14:paraId="53ECF041">
      <w:pPr>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(10)服务期内，车辆出现质量问题影响正常使用的，或甲方对司机不满意的，乙方应当在接到甲方通知（书面或口头）起半个小</w:t>
      </w:r>
      <w:r>
        <w:rPr>
          <w:rFonts w:hint="eastAsia" w:ascii="宋体" w:hAnsi="宋体" w:cs="宋体"/>
          <w:b w:val="0"/>
          <w:color w:val="auto"/>
          <w:sz w:val="24"/>
          <w:szCs w:val="24"/>
          <w:highlight w:val="none"/>
          <w:lang w:eastAsia="zh-CN"/>
        </w:rPr>
        <w:t>时内</w:t>
      </w:r>
      <w:r>
        <w:rPr>
          <w:rFonts w:hint="eastAsia" w:ascii="宋体" w:hAnsi="宋体" w:eastAsia="宋体" w:cs="宋体"/>
          <w:b w:val="0"/>
          <w:color w:val="auto"/>
          <w:sz w:val="24"/>
          <w:szCs w:val="24"/>
          <w:highlight w:val="none"/>
        </w:rPr>
        <w:t>派专业技术人员进行维修或更换同等条件车辆或更换司机。如乙方未按时进行维修或更换的，甲方可另行选择他人进行维修、更换车辆或司机以及采取其他合理的补救措施，所产生的一切费用将由乙方承担。</w:t>
      </w:r>
    </w:p>
    <w:p w14:paraId="433BA0B6">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(11)提供服务的承运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保持性能良好，符合国家规定和甲方客运要求，并对甲方提出的机械问题和安全隐患及时整改。</w:t>
      </w:r>
    </w:p>
    <w:p w14:paraId="06C1B6BD">
      <w:pPr>
        <w:shd w:val="clear" w:color="auto" w:fill="FFFFFF"/>
        <w:tabs>
          <w:tab w:val="left" w:pos="567"/>
        </w:tabs>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(12)乙方应负责驾驶员的安全教育，驾驶人员必须具备该承运工具的驾驶执照，身体健康，职业道德良好，无重大责任事故记录，驾龄在5年以上。</w:t>
      </w:r>
    </w:p>
    <w:p w14:paraId="36553828">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(13)应当向乘车人员告知安全运输注意事项，并对乘车人员进行安全警示教育。</w:t>
      </w:r>
    </w:p>
    <w:p w14:paraId="2361F276">
      <w:pPr>
        <w:shd w:val="clear" w:color="auto" w:fill="FFFFFF"/>
        <w:snapToGrid w:val="0"/>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(14)未经甲方同意，乙方不得在承运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行驶途中随意停车或招揽顾客。</w:t>
      </w:r>
    </w:p>
    <w:p w14:paraId="03538C2A">
      <w:pPr>
        <w:shd w:val="clear" w:color="auto" w:fill="FFFFFF"/>
        <w:snapToGrid w:val="0"/>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cs="宋体"/>
          <w:b w:val="0"/>
          <w:color w:val="auto"/>
          <w:sz w:val="24"/>
          <w:szCs w:val="24"/>
          <w:highlight w:val="none"/>
          <w:lang w:val="en-US" w:eastAsia="zh-CN"/>
        </w:rPr>
        <w:t>5</w:t>
      </w:r>
      <w:r>
        <w:rPr>
          <w:rFonts w:hint="eastAsia" w:ascii="宋体" w:hAnsi="宋体" w:eastAsia="宋体" w:cs="宋体"/>
          <w:b w:val="0"/>
          <w:color w:val="auto"/>
          <w:sz w:val="24"/>
          <w:szCs w:val="24"/>
          <w:highlight w:val="none"/>
        </w:rPr>
        <w:t>)</w:t>
      </w:r>
      <w:r>
        <w:rPr>
          <w:rFonts w:hint="eastAsia" w:ascii="宋体" w:hAnsi="宋体" w:eastAsia="宋体" w:cs="宋体"/>
          <w:color w:val="auto"/>
          <w:sz w:val="24"/>
          <w:highlight w:val="none"/>
        </w:rPr>
        <w:t>对于因车况（空调、安全、卫生等）原因连续投诉同一车辆多次的（3 次及以上），乙方应更换车辆；因驾驶员两个月内被投诉多次的（3 次及以上），应更换驾驶员。</w:t>
      </w:r>
    </w:p>
    <w:p w14:paraId="439F4F50">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)按合同约定取得合同价款。</w:t>
      </w:r>
    </w:p>
    <w:p w14:paraId="23E0C296">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七、</w:t>
      </w:r>
      <w:r>
        <w:rPr>
          <w:rFonts w:hint="eastAsia" w:ascii="宋体" w:hAnsi="宋体" w:eastAsia="宋体" w:cs="宋体"/>
          <w:b w:val="0"/>
          <w:bCs/>
          <w:color w:val="auto"/>
          <w:sz w:val="24"/>
          <w:szCs w:val="24"/>
          <w:highlight w:val="none"/>
        </w:rPr>
        <w:t>违约责任</w:t>
      </w:r>
    </w:p>
    <w:p w14:paraId="390DE2B6">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1、乙方擅自变更承运工具而降低服务标准的，或因车辆车况、驾驶员被甲方员工投诉，应按每次</w:t>
      </w:r>
      <w:r>
        <w:rPr>
          <w:rFonts w:hint="eastAsia" w:ascii="宋体" w:hAnsi="宋体" w:eastAsia="宋体" w:cs="宋体"/>
          <w:b w:val="0"/>
          <w:color w:val="auto"/>
          <w:sz w:val="24"/>
          <w:szCs w:val="24"/>
          <w:highlight w:val="none"/>
          <w:u w:val="single"/>
        </w:rPr>
        <w:t>1000</w:t>
      </w:r>
      <w:r>
        <w:rPr>
          <w:rFonts w:hint="eastAsia" w:ascii="宋体" w:hAnsi="宋体" w:eastAsia="宋体" w:cs="宋体"/>
          <w:b w:val="0"/>
          <w:color w:val="auto"/>
          <w:sz w:val="24"/>
          <w:szCs w:val="24"/>
          <w:highlight w:val="none"/>
        </w:rPr>
        <w:t>元向甲方支付违约金，并应及时整改。</w:t>
      </w:r>
    </w:p>
    <w:p w14:paraId="27D60A0B">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2、因乙方原因若每月无故迟到3次，甲方有权扣除乙方当月服务费10%作为违约金，且3次迟到后每多1次迟到，甲方有权再从乙方当月服务费中扣除500元/次作为违约金。</w:t>
      </w:r>
    </w:p>
    <w:p w14:paraId="2D09B58C">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3、甲方未按合同约定按时支付服务价款，每逾期一天应向乙方支付应付未付价款万分之五的违约金。</w:t>
      </w:r>
    </w:p>
    <w:p w14:paraId="7F0916B2">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4、如乙方因自身原因无法及时提供服务的，甲方有权选择第三方提供服务，由此给甲方造成损失的，甲方有权向乙方提出赔偿。</w:t>
      </w:r>
    </w:p>
    <w:p w14:paraId="2A18763A">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八、合同的生效、变更、解除和终止</w:t>
      </w:r>
    </w:p>
    <w:p w14:paraId="766A7010">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1、本合同经双方法定代表人（负责人）或委托代理人签字并加盖印章后生效。</w:t>
      </w:r>
    </w:p>
    <w:p w14:paraId="27BEEBC3">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2、本合同经双方协商一致，可以变更或解除，合同变更或解除协议应采用书面形式。</w:t>
      </w:r>
    </w:p>
    <w:p w14:paraId="73D98AA4">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3、具备下列情形之一的，解除权人可单方解除合同，但应向对方发出书面的合同解除通知，通知送达对方时合同解除。</w:t>
      </w:r>
    </w:p>
    <w:p w14:paraId="2D40D924">
      <w:pPr>
        <w:shd w:val="clear" w:color="auto" w:fill="FFFFFF"/>
        <w:snapToGrid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(1)甲方解除合同条件</w:t>
      </w:r>
    </w:p>
    <w:p w14:paraId="75235AE4">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①在履行期限届满之前，乙方明确表示或者以自己实际行为表明其不履行合同义务的。</w:t>
      </w:r>
    </w:p>
    <w:p w14:paraId="1958A8C5">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②乙方未按合同约定配备承运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、驾驶人员或未按甲方要求更换承运</w:t>
      </w:r>
      <w:r>
        <w:rPr>
          <w:rFonts w:hint="eastAsia" w:ascii="宋体" w:hAnsi="宋体" w:cs="宋体"/>
          <w:b w:val="0"/>
          <w:color w:val="auto"/>
          <w:sz w:val="24"/>
          <w:szCs w:val="24"/>
          <w:highlight w:val="none"/>
          <w:lang w:val="en-US" w:eastAsia="zh-CN"/>
        </w:rPr>
        <w:t>车辆</w:t>
      </w:r>
      <w:r>
        <w:rPr>
          <w:rFonts w:hint="eastAsia" w:ascii="宋体" w:hAnsi="宋体" w:eastAsia="宋体" w:cs="宋体"/>
          <w:b w:val="0"/>
          <w:color w:val="auto"/>
          <w:sz w:val="24"/>
          <w:szCs w:val="24"/>
          <w:highlight w:val="none"/>
        </w:rPr>
        <w:t>（因车况连续投诉同一车辆两次）、更换驾驶人员（一个月内同一驾驶人员被甲方员工投诉两次），接到甲方书面催告两次后仍拒不整改的。</w:t>
      </w:r>
    </w:p>
    <w:p w14:paraId="03E14EB1">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③乙方未按约定履行客运义务，经催告两次仍不履行的。</w:t>
      </w:r>
    </w:p>
    <w:p w14:paraId="2D67F201">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④发生事故等造成甲方人员伤亡或财产损失，乙方未按规定及时理赔的。</w:t>
      </w:r>
    </w:p>
    <w:p w14:paraId="77B304CF">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如发生上述情形，乙方须承担违约责任及承担赔偿责任，且甲方有权要求乙方继续履行合同义务，或解除合同并扣除乙方履约保证金。</w:t>
      </w:r>
    </w:p>
    <w:p w14:paraId="6BD0703F">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(2)乙方解除合同条件</w:t>
      </w:r>
    </w:p>
    <w:p w14:paraId="47D4BE59">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①在履行期限届满之前，甲方明确表示或者以自己实际行为表明其不履行合同义务的。</w:t>
      </w:r>
    </w:p>
    <w:p w14:paraId="47DEEA8B">
      <w:pPr>
        <w:shd w:val="clear" w:color="auto" w:fill="FFFFFF"/>
        <w:snapToGrid w:val="0"/>
        <w:spacing w:line="360" w:lineRule="auto"/>
        <w:ind w:firstLine="360" w:firstLineChars="15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②经两次催告后甲方拒不支付合同价款的。</w:t>
      </w:r>
    </w:p>
    <w:p w14:paraId="6010505E">
      <w:pPr>
        <w:shd w:val="clear" w:color="auto" w:fill="FFFFFF"/>
        <w:snapToGrid w:val="0"/>
        <w:spacing w:line="360" w:lineRule="auto"/>
        <w:ind w:firstLine="360" w:firstLineChars="15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乙方有权要求甲方继续履行合同义务，或解除合同。</w:t>
      </w:r>
    </w:p>
    <w:p w14:paraId="6F16F9CB">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4、有下列情形之一的，本合同的权利义务终止：</w:t>
      </w:r>
    </w:p>
    <w:p w14:paraId="026A2541">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(1)合同已经按照约定履行完结。</w:t>
      </w:r>
    </w:p>
    <w:p w14:paraId="30649DBA">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 双方协商解除合同。</w:t>
      </w:r>
    </w:p>
    <w:p w14:paraId="306EC8D6">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(3)一方依据法定或约定原因解除合同的。</w:t>
      </w:r>
    </w:p>
    <w:p w14:paraId="463DB9C6">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九、争议的解决</w:t>
      </w:r>
    </w:p>
    <w:p w14:paraId="68C9B398">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本合同履行过程中发生的纠纷双方可采取协商或向甲方所在地人民法院以诉讼的方式解决。</w:t>
      </w:r>
    </w:p>
    <w:p w14:paraId="3ADDD4E2">
      <w:pPr>
        <w:shd w:val="clear" w:color="auto" w:fill="FFFFFF"/>
        <w:snapToGrid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九、合同组成</w:t>
      </w:r>
    </w:p>
    <w:p w14:paraId="55574009">
      <w:pPr>
        <w:shd w:val="clear" w:color="auto" w:fill="FFFFFF"/>
        <w:snapToGrid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1、本合同文本           3、招标文件及投标文件</w:t>
      </w:r>
    </w:p>
    <w:p w14:paraId="7F6E839D">
      <w:pPr>
        <w:shd w:val="clear" w:color="auto" w:fill="FFFFFF"/>
        <w:snapToGrid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2、中标通知书           4、甲乙双方商定的其他必要文件</w:t>
      </w:r>
    </w:p>
    <w:p w14:paraId="6E61285C">
      <w:pPr>
        <w:shd w:val="clear" w:color="auto" w:fill="FFFFFF"/>
        <w:snapToGrid w:val="0"/>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十、</w:t>
      </w:r>
      <w:r>
        <w:rPr>
          <w:rFonts w:hint="eastAsia" w:ascii="宋体" w:hAnsi="宋体" w:cs="宋体"/>
          <w:b w:val="0"/>
          <w:bCs/>
          <w:color w:val="auto"/>
          <w:sz w:val="24"/>
          <w:szCs w:val="24"/>
          <w:highlight w:val="none"/>
          <w:lang w:eastAsia="zh-CN"/>
        </w:rPr>
        <w:t>其他约定</w:t>
      </w:r>
    </w:p>
    <w:p w14:paraId="17851A6E">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1、合同服务期内，乙方的车辆发生交通事故时，由乙方自行处理，甲方可以协助乙方做好善后工作，但不承担任何责任和费用。</w:t>
      </w:r>
    </w:p>
    <w:p w14:paraId="6F2CA1E1">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2、合同期内，乙方的车辆进行常规维修保养时，乙方应及时为甲方提供同种、同质车辆供甲方正常使用。否则，承租方有权扣除此期间租金。</w:t>
      </w:r>
    </w:p>
    <w:p w14:paraId="3CC501F8">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3、接送站车辆至少应提前半小时到达甲方指定地点等候，如发生车辆故障或无法提供服务时，乙方应及时提供应急保障车辆并确保30分钟内到达甲方指定地点。</w:t>
      </w:r>
    </w:p>
    <w:p w14:paraId="43D77C29">
      <w:pPr>
        <w:spacing w:line="360" w:lineRule="auto"/>
        <w:ind w:firstLine="42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4、车辆要求：</w:t>
      </w:r>
      <w:r>
        <w:rPr>
          <w:rFonts w:hint="eastAsia" w:ascii="宋体" w:hAnsi="宋体" w:eastAsia="宋体" w:cs="宋体"/>
          <w:color w:val="auto"/>
          <w:sz w:val="24"/>
          <w:szCs w:val="24"/>
          <w:highlight w:val="none"/>
        </w:rPr>
        <w:t>所有车型提供的车辆需</w:t>
      </w:r>
      <w:r>
        <w:rPr>
          <w:rFonts w:hint="eastAsia" w:ascii="宋体" w:hAnsi="宋体" w:eastAsia="宋体" w:cs="宋体"/>
          <w:bCs/>
          <w:color w:val="auto"/>
          <w:sz w:val="24"/>
          <w:szCs w:val="24"/>
          <w:highlight w:val="none"/>
          <w:u w:val="single"/>
        </w:rPr>
        <w:t>符合《中华人民共和国道路交通安全法》规定的安全行驶相关要求。</w:t>
      </w:r>
      <w:r>
        <w:rPr>
          <w:rFonts w:hint="eastAsia" w:ascii="宋体" w:hAnsi="宋体" w:eastAsia="宋体" w:cs="宋体"/>
          <w:color w:val="auto"/>
          <w:sz w:val="24"/>
          <w:szCs w:val="24"/>
          <w:highlight w:val="none"/>
        </w:rPr>
        <w:t>轿车车型应采用不低于大众帕萨特、迈腾级别的合资品牌车</w:t>
      </w:r>
      <w:r>
        <w:rPr>
          <w:rFonts w:hint="eastAsia" w:ascii="宋体" w:hAnsi="宋体" w:eastAsia="宋体" w:cs="宋体"/>
          <w:b w:val="0"/>
          <w:color w:val="auto"/>
          <w:sz w:val="24"/>
          <w:szCs w:val="24"/>
          <w:highlight w:val="none"/>
        </w:rPr>
        <w:t>。</w:t>
      </w:r>
    </w:p>
    <w:p w14:paraId="632ECB13">
      <w:pPr>
        <w:spacing w:line="360" w:lineRule="auto"/>
        <w:ind w:firstLine="420"/>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5、</w:t>
      </w:r>
      <w:r>
        <w:rPr>
          <w:rFonts w:hint="eastAsia" w:ascii="宋体" w:hAnsi="宋体" w:eastAsia="宋体" w:cs="宋体"/>
          <w:b w:val="0"/>
          <w:color w:val="auto"/>
          <w:sz w:val="24"/>
          <w:szCs w:val="24"/>
          <w:highlight w:val="none"/>
        </w:rPr>
        <w:t>驾驶员要求：</w:t>
      </w:r>
      <w:r>
        <w:rPr>
          <w:rFonts w:hint="eastAsia" w:ascii="宋体" w:hAnsi="宋体" w:eastAsia="宋体" w:cs="宋体"/>
          <w:bCs/>
          <w:color w:val="auto"/>
          <w:sz w:val="24"/>
          <w:szCs w:val="24"/>
          <w:highlight w:val="none"/>
          <w:u w:val="single"/>
        </w:rPr>
        <w:t>所有驾驶人员应合法持有驾照（驾照等级满足准驾车型要求），身体健康，具备安全驾驶条件。</w:t>
      </w:r>
    </w:p>
    <w:p w14:paraId="17D7612E">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、合同未尽事项，由甲乙双方根据国家法律、法规及有关规定协商另行订立补充协议。</w:t>
      </w:r>
    </w:p>
    <w:p w14:paraId="36C71B3D">
      <w:pPr>
        <w:shd w:val="clear" w:color="auto" w:fill="FFFFFF"/>
        <w:snapToGrid w:val="0"/>
        <w:spacing w:line="360" w:lineRule="auto"/>
        <w:ind w:firstLine="426"/>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7</w:t>
      </w:r>
      <w:r>
        <w:rPr>
          <w:rFonts w:hint="eastAsia" w:ascii="宋体" w:hAnsi="宋体" w:eastAsia="宋体" w:cs="宋体"/>
          <w:b w:val="0"/>
          <w:color w:val="auto"/>
          <w:sz w:val="24"/>
          <w:szCs w:val="24"/>
          <w:highlight w:val="none"/>
        </w:rPr>
        <w:t>、本合同一式柒份，甲方执肆份，乙方执叁份，每份具有同等法律效力。</w:t>
      </w:r>
    </w:p>
    <w:p w14:paraId="68705CFF">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0935D3C2">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                乙方：  </w:t>
      </w:r>
    </w:p>
    <w:p w14:paraId="5A0A7369">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（盖章）                                （盖章）</w:t>
      </w:r>
    </w:p>
    <w:p w14:paraId="52D4CEE1">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5F48576B">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5D67B85A">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法定代表人：                           法定代表人：</w:t>
      </w:r>
    </w:p>
    <w:p w14:paraId="4649105A">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54D52431">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委托代理人：                           委托代理人：</w:t>
      </w:r>
    </w:p>
    <w:p w14:paraId="16B5C8BF">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643EC9BB">
      <w:pPr>
        <w:shd w:val="clear" w:color="auto" w:fill="FFFFFF"/>
        <w:snapToGrid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w:t>
      </w:r>
    </w:p>
    <w:p w14:paraId="3420E5C5">
      <w:pPr>
        <w:shd w:val="clear" w:color="auto" w:fill="FFFFFF"/>
        <w:snapToGrid w:val="0"/>
        <w:spacing w:line="360" w:lineRule="auto"/>
        <w:ind w:firstLine="600" w:firstLineChars="25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年   月   日                          年   月   日</w:t>
      </w:r>
    </w:p>
    <w:p w14:paraId="614523A9">
      <w:pPr>
        <w:pStyle w:val="222"/>
        <w:spacing w:line="560" w:lineRule="exact"/>
        <w:ind w:firstLine="360"/>
        <w:jc w:val="left"/>
        <w:rPr>
          <w:rFonts w:hint="eastAsia" w:hAnsi="宋体"/>
          <w:color w:val="auto"/>
          <w:sz w:val="24"/>
          <w:szCs w:val="24"/>
          <w:highlight w:val="none"/>
        </w:rPr>
      </w:pPr>
    </w:p>
    <w:p w14:paraId="5F12F238">
      <w:pPr>
        <w:pStyle w:val="222"/>
        <w:spacing w:line="560" w:lineRule="exact"/>
        <w:ind w:firstLine="360"/>
        <w:jc w:val="left"/>
        <w:rPr>
          <w:rFonts w:hint="eastAsia" w:hAnsi="宋体"/>
          <w:color w:val="auto"/>
          <w:sz w:val="24"/>
          <w:szCs w:val="24"/>
          <w:highlight w:val="none"/>
        </w:rPr>
      </w:pPr>
    </w:p>
    <w:p w14:paraId="075A6E8C">
      <w:pPr>
        <w:pStyle w:val="222"/>
        <w:keepNext w:val="0"/>
        <w:keepLines w:val="0"/>
        <w:pageBreakBefore w:val="0"/>
        <w:widowControl w:val="0"/>
        <w:spacing w:line="0" w:lineRule="atLeast"/>
        <w:jc w:val="left"/>
        <w:outlineLvl w:val="0"/>
        <w:rPr>
          <w:rFonts w:hint="eastAsia" w:ascii="宋体" w:hAnsi="宋体" w:eastAsia="宋体" w:cs="宋体"/>
          <w:color w:val="auto"/>
          <w:sz w:val="24"/>
          <w:szCs w:val="24"/>
          <w:highlight w:val="none"/>
        </w:rPr>
      </w:pPr>
      <w:r>
        <w:rPr>
          <w:rFonts w:ascii="黑体" w:eastAsia="黑体"/>
          <w:bCs/>
          <w:color w:val="auto"/>
          <w:sz w:val="44"/>
          <w:highlight w:val="none"/>
        </w:rPr>
        <w:br w:type="page" w:clear="all"/>
      </w:r>
    </w:p>
    <w:p w14:paraId="417698C8">
      <w:pPr>
        <w:pStyle w:val="222"/>
        <w:spacing w:before="120" w:after="120" w:line="0" w:lineRule="atLeast"/>
        <w:jc w:val="center"/>
        <w:outlineLvl w:val="0"/>
        <w:rPr>
          <w:rFonts w:hint="eastAsia" w:hAnsi="宋体"/>
          <w:color w:val="auto"/>
          <w:sz w:val="24"/>
          <w:szCs w:val="24"/>
          <w:highlight w:val="none"/>
        </w:rPr>
      </w:pPr>
      <w:bookmarkStart w:id="241" w:name="_Toc21086"/>
      <w:r>
        <w:rPr>
          <w:rFonts w:hint="eastAsia" w:ascii="黑体" w:hAnsi="Times New Roman" w:eastAsia="黑体"/>
          <w:color w:val="auto"/>
          <w:sz w:val="44"/>
          <w:szCs w:val="44"/>
          <w:highlight w:val="none"/>
        </w:rPr>
        <w:t>第</w:t>
      </w:r>
      <w:bookmarkEnd w:id="232"/>
      <w:r>
        <w:rPr>
          <w:rFonts w:hint="eastAsia" w:ascii="黑体" w:hAnsi="Times New Roman" w:eastAsia="黑体"/>
          <w:color w:val="auto"/>
          <w:sz w:val="44"/>
          <w:szCs w:val="44"/>
          <w:highlight w:val="none"/>
        </w:rPr>
        <w:t>四章 采购需求</w:t>
      </w:r>
      <w:bookmarkEnd w:id="233"/>
      <w:bookmarkEnd w:id="234"/>
      <w:bookmarkEnd w:id="235"/>
      <w:bookmarkEnd w:id="241"/>
    </w:p>
    <w:p w14:paraId="62BB1DB1">
      <w:pPr>
        <w:spacing w:line="360" w:lineRule="auto"/>
        <w:ind w:firstLine="480"/>
        <w:rPr>
          <w:rFonts w:hint="eastAsia" w:ascii="宋体" w:hAnsi="宋体"/>
          <w:color w:val="auto"/>
          <w:sz w:val="24"/>
          <w:szCs w:val="24"/>
          <w:highlight w:val="none"/>
        </w:rPr>
      </w:pPr>
      <w:bookmarkStart w:id="242" w:name="_Toc49090575"/>
      <w:bookmarkStart w:id="243" w:name="_Toc26554093"/>
      <w:r>
        <w:rPr>
          <w:rFonts w:hint="eastAsia" w:ascii="宋体" w:hAnsi="宋体"/>
          <w:color w:val="auto"/>
          <w:sz w:val="24"/>
          <w:szCs w:val="24"/>
          <w:highlight w:val="none"/>
        </w:rPr>
        <w:t>项目属性：</w:t>
      </w:r>
      <w:r>
        <w:rPr>
          <w:rFonts w:hint="eastAsia" w:ascii="宋体" w:hAnsi="宋体"/>
          <w:b/>
          <w:bCs/>
          <w:color w:val="auto"/>
          <w:sz w:val="24"/>
          <w:szCs w:val="24"/>
          <w:highlight w:val="none"/>
        </w:rPr>
        <w:t>服务类</w:t>
      </w:r>
      <w:r>
        <w:rPr>
          <w:rFonts w:hint="eastAsia" w:ascii="宋体" w:hAnsi="宋体"/>
          <w:color w:val="auto"/>
          <w:sz w:val="24"/>
          <w:szCs w:val="24"/>
          <w:highlight w:val="none"/>
        </w:rPr>
        <w:t>项目。本项目采购标的对应的中小企业划分标准所属行业</w:t>
      </w:r>
      <w:r>
        <w:rPr>
          <w:rFonts w:hint="eastAsia" w:ascii="宋体" w:hAnsi="宋体"/>
          <w:color w:val="auto"/>
          <w:sz w:val="24"/>
          <w:szCs w:val="24"/>
          <w:highlight w:val="none"/>
          <w:lang w:val="en-US" w:eastAsia="zh-CN"/>
        </w:rPr>
        <w:t>为</w:t>
      </w:r>
      <w:r>
        <w:rPr>
          <w:rFonts w:hint="eastAsia" w:ascii="宋体" w:hAnsi="宋体"/>
          <w:b/>
          <w:bCs/>
          <w:color w:val="auto"/>
          <w:sz w:val="24"/>
          <w:szCs w:val="24"/>
          <w:highlight w:val="none"/>
          <w:lang w:val="en-US" w:eastAsia="zh-CN"/>
        </w:rPr>
        <w:t>租赁与商务服务业</w:t>
      </w:r>
      <w:r>
        <w:rPr>
          <w:rFonts w:hint="eastAsia" w:ascii="宋体" w:hAnsi="宋体"/>
          <w:color w:val="auto"/>
          <w:sz w:val="24"/>
          <w:szCs w:val="24"/>
          <w:highlight w:val="none"/>
        </w:rPr>
        <w:t>。</w:t>
      </w:r>
    </w:p>
    <w:p w14:paraId="5B81421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1、根据《政府采购需求管理办法》等有关规定，采购人确定采购需求。</w:t>
      </w:r>
    </w:p>
    <w:p w14:paraId="7C0062F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2、本项目需求中标注★号的款项为实质性要求和条件，由采购人根据实际情况设置，</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必须逐条明确作出满足实质性要求和条件的响应，否则投标无效。</w:t>
      </w:r>
    </w:p>
    <w:tbl>
      <w:tblPr>
        <w:tblStyle w:val="2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6EDAC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noWrap w:val="0"/>
            <w:vAlign w:val="center"/>
          </w:tcPr>
          <w:p w14:paraId="2AA4DFDA">
            <w:pPr>
              <w:keepNext w:val="0"/>
              <w:keepLines w:val="0"/>
              <w:pageBreakBefore w:val="0"/>
              <w:widowControl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10F14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34FEA780">
            <w:pPr>
              <w:keepNext w:val="0"/>
              <w:keepLines w:val="0"/>
              <w:pageBreakBefore w:val="0"/>
              <w:widowControl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noWrap w:val="0"/>
            <w:vAlign w:val="top"/>
          </w:tcPr>
          <w:p w14:paraId="1ECB9B1E">
            <w:pPr>
              <w:keepNext w:val="0"/>
              <w:keepLines w:val="0"/>
              <w:pageBreakBefore w:val="0"/>
              <w:widowControl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735E9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392353F7">
            <w:pPr>
              <w:keepNext w:val="0"/>
              <w:keepLines w:val="0"/>
              <w:pageBreakBefore w:val="0"/>
              <w:widowControl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shd w:val="clear" w:color="auto" w:fill="auto"/>
            <w:noWrap w:val="0"/>
            <w:vAlign w:val="top"/>
          </w:tcPr>
          <w:p w14:paraId="21A0B6F7">
            <w:pPr>
              <w:keepNext w:val="0"/>
              <w:keepLines w:val="0"/>
              <w:pageBreakBefore w:val="0"/>
              <w:widowControl w:val="0"/>
              <w:spacing w:line="3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★合同履行期限（服务期限）：2025年-2026年学年（具体以采购人指定要求为准）</w:t>
            </w:r>
          </w:p>
        </w:tc>
      </w:tr>
      <w:tr w14:paraId="76285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63C69A56">
            <w:pPr>
              <w:keepNext w:val="0"/>
              <w:keepLines w:val="0"/>
              <w:pageBreakBefore w:val="0"/>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7689" w:type="dxa"/>
            <w:shd w:val="clear" w:color="auto" w:fill="auto"/>
            <w:noWrap w:val="0"/>
            <w:vAlign w:val="top"/>
          </w:tcPr>
          <w:p w14:paraId="12FD8AF3">
            <w:pPr>
              <w:keepNext w:val="0"/>
              <w:keepLines w:val="0"/>
              <w:pageBreakBefore w:val="0"/>
              <w:widowControl w:val="0"/>
              <w:spacing w:line="3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★如因采购人需求调整、政策变化、不可抗力等原因，导致本项目中部分内容无需实施的，供应商统一按照实际发生量进行结算。</w:t>
            </w:r>
          </w:p>
        </w:tc>
      </w:tr>
      <w:tr w14:paraId="5F0EE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6E8F587F">
            <w:pPr>
              <w:keepNext w:val="0"/>
              <w:keepLines w:val="0"/>
              <w:pageBreakBefore w:val="0"/>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7689" w:type="dxa"/>
            <w:shd w:val="clear" w:color="auto" w:fill="auto"/>
            <w:noWrap w:val="0"/>
            <w:vAlign w:val="top"/>
          </w:tcPr>
          <w:p w14:paraId="0B54435C">
            <w:pPr>
              <w:keepNext w:val="0"/>
              <w:keepLines w:val="0"/>
              <w:pageBreakBefore w:val="0"/>
              <w:widowControl w:val="0"/>
              <w:spacing w:line="3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p>
        </w:tc>
      </w:tr>
    </w:tbl>
    <w:p w14:paraId="6AF99428">
      <w:pPr>
        <w:pStyle w:val="262"/>
        <w:spacing w:line="360" w:lineRule="auto"/>
        <w:rPr>
          <w:rFonts w:hint="eastAsia" w:ascii="宋体" w:hAnsi="宋体" w:eastAsia="宋体" w:cs="宋体"/>
          <w:color w:val="auto"/>
          <w:sz w:val="24"/>
          <w:szCs w:val="24"/>
          <w:highlight w:val="none"/>
          <w:lang w:val="zh-TW" w:eastAsia="zh-CN" w:bidi="ar-SA"/>
        </w:rPr>
      </w:pPr>
      <w:r>
        <w:rPr>
          <w:rFonts w:hint="eastAsia" w:ascii="宋体" w:hAnsi="宋体" w:cs="宋体"/>
          <w:b/>
          <w:bCs/>
          <w:color w:val="auto"/>
          <w:sz w:val="28"/>
          <w:szCs w:val="28"/>
          <w:highlight w:val="none"/>
        </w:rPr>
        <w:t>一、</w:t>
      </w:r>
      <w:r>
        <w:rPr>
          <w:rFonts w:hint="eastAsia" w:ascii="宋体" w:hAnsi="宋体" w:cs="宋体"/>
          <w:b/>
          <w:bCs/>
          <w:color w:val="auto"/>
          <w:sz w:val="28"/>
          <w:szCs w:val="28"/>
          <w:highlight w:val="none"/>
          <w:lang w:val="zh-TW"/>
        </w:rPr>
        <w:t>项目背景</w:t>
      </w:r>
    </w:p>
    <w:p w14:paraId="6B1B678E">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生物中专于2020年8月整体搬迁至徐圩核心区，学生来源主要分布在市内各个县区，且大部分为未成年人。为保障学生出行安全，生物中专每年需租用车辆接送学生和老师往返学校。</w:t>
      </w:r>
    </w:p>
    <w:p w14:paraId="3A8450EE">
      <w:pPr>
        <w:pStyle w:val="262"/>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28"/>
          <w:szCs w:val="28"/>
          <w:highlight w:val="none"/>
        </w:rPr>
        <w:t>二、服务要求</w:t>
      </w:r>
    </w:p>
    <w:p w14:paraId="4E361B67">
      <w:pPr>
        <w:numPr>
          <w:ilvl w:val="0"/>
          <w:numId w:val="0"/>
        </w:numPr>
        <w:spacing w:line="360" w:lineRule="auto"/>
        <w:ind w:left="567" w:leftChars="0"/>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1、租赁车辆明细</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（单位：元）</w:t>
      </w:r>
    </w:p>
    <w:tbl>
      <w:tblPr>
        <w:tblStyle w:val="32"/>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2378"/>
        <w:gridCol w:w="1828"/>
        <w:gridCol w:w="845"/>
        <w:gridCol w:w="1623"/>
        <w:gridCol w:w="1452"/>
        <w:gridCol w:w="1020"/>
      </w:tblGrid>
      <w:tr w14:paraId="020F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67378D5D">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序号</w:t>
            </w:r>
          </w:p>
        </w:tc>
        <w:tc>
          <w:tcPr>
            <w:tcW w:w="2378" w:type="dxa"/>
            <w:vAlign w:val="center"/>
          </w:tcPr>
          <w:p w14:paraId="65C6BFC1">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项目（路线）</w:t>
            </w:r>
          </w:p>
        </w:tc>
        <w:tc>
          <w:tcPr>
            <w:tcW w:w="1828" w:type="dxa"/>
            <w:vAlign w:val="center"/>
          </w:tcPr>
          <w:p w14:paraId="761319C5">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车辆要求</w:t>
            </w:r>
          </w:p>
        </w:tc>
        <w:tc>
          <w:tcPr>
            <w:tcW w:w="845" w:type="dxa"/>
            <w:shd w:val="clear" w:color="auto" w:fill="auto"/>
            <w:vAlign w:val="center"/>
          </w:tcPr>
          <w:p w14:paraId="28D56070">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数量</w:t>
            </w:r>
          </w:p>
          <w:p w14:paraId="76AF0EA6">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imes New Roman" w:hAnsi="Times New Roman" w:eastAsia="宋体" w:cs="Times New Roman"/>
                <w:b w:val="0"/>
                <w:bCs/>
                <w:color w:val="auto"/>
                <w:sz w:val="21"/>
                <w:szCs w:val="21"/>
                <w:highlight w:val="none"/>
                <w:vertAlign w:val="baseline"/>
                <w:lang w:val="en-US" w:eastAsia="zh-CN" w:bidi="ar-SA"/>
              </w:rPr>
            </w:pPr>
            <w:r>
              <w:rPr>
                <w:rFonts w:hint="eastAsia"/>
                <w:b w:val="0"/>
                <w:bCs/>
                <w:color w:val="auto"/>
                <w:highlight w:val="none"/>
                <w:vertAlign w:val="baseline"/>
                <w:lang w:val="en-US" w:eastAsia="zh-CN"/>
              </w:rPr>
              <w:t>(辆)</w:t>
            </w:r>
          </w:p>
        </w:tc>
        <w:tc>
          <w:tcPr>
            <w:tcW w:w="1623" w:type="dxa"/>
            <w:vAlign w:val="center"/>
          </w:tcPr>
          <w:p w14:paraId="4735B00B">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次数</w:t>
            </w:r>
          </w:p>
        </w:tc>
        <w:tc>
          <w:tcPr>
            <w:tcW w:w="1452" w:type="dxa"/>
            <w:vAlign w:val="center"/>
          </w:tcPr>
          <w:p w14:paraId="79764E80">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★最高限价单价</w:t>
            </w:r>
          </w:p>
        </w:tc>
        <w:tc>
          <w:tcPr>
            <w:tcW w:w="1020" w:type="dxa"/>
            <w:vAlign w:val="center"/>
          </w:tcPr>
          <w:p w14:paraId="666F22F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小计</w:t>
            </w:r>
          </w:p>
        </w:tc>
      </w:tr>
      <w:tr w14:paraId="2AD5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01D85E55">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1</w:t>
            </w:r>
          </w:p>
        </w:tc>
        <w:tc>
          <w:tcPr>
            <w:tcW w:w="2378" w:type="dxa"/>
            <w:vAlign w:val="center"/>
          </w:tcPr>
          <w:p w14:paraId="0CB77232">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学校至东辛校区</w:t>
            </w:r>
          </w:p>
        </w:tc>
        <w:tc>
          <w:tcPr>
            <w:tcW w:w="1828" w:type="dxa"/>
            <w:vAlign w:val="center"/>
          </w:tcPr>
          <w:p w14:paraId="47F4BFF5">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大客车（45座以上），带GPS</w:t>
            </w:r>
          </w:p>
        </w:tc>
        <w:tc>
          <w:tcPr>
            <w:tcW w:w="845" w:type="dxa"/>
            <w:shd w:val="clear" w:color="auto" w:fill="auto"/>
            <w:vAlign w:val="center"/>
          </w:tcPr>
          <w:p w14:paraId="3448C5FC">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4</w:t>
            </w:r>
          </w:p>
        </w:tc>
        <w:tc>
          <w:tcPr>
            <w:tcW w:w="1623" w:type="dxa"/>
            <w:vAlign w:val="center"/>
          </w:tcPr>
          <w:p w14:paraId="06F39F0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70趟</w:t>
            </w:r>
          </w:p>
        </w:tc>
        <w:tc>
          <w:tcPr>
            <w:tcW w:w="1452" w:type="dxa"/>
            <w:vAlign w:val="center"/>
          </w:tcPr>
          <w:p w14:paraId="1472B6DF">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300</w:t>
            </w:r>
          </w:p>
        </w:tc>
        <w:tc>
          <w:tcPr>
            <w:tcW w:w="1020" w:type="dxa"/>
            <w:vAlign w:val="center"/>
          </w:tcPr>
          <w:p w14:paraId="73862FB7">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8400</w:t>
            </w:r>
          </w:p>
        </w:tc>
      </w:tr>
      <w:tr w14:paraId="216B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62D8882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2</w:t>
            </w:r>
          </w:p>
        </w:tc>
        <w:tc>
          <w:tcPr>
            <w:tcW w:w="2378" w:type="dxa"/>
            <w:vAlign w:val="center"/>
          </w:tcPr>
          <w:p w14:paraId="3C6DDE51">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学校至市区</w:t>
            </w:r>
          </w:p>
        </w:tc>
        <w:tc>
          <w:tcPr>
            <w:tcW w:w="1828" w:type="dxa"/>
            <w:vAlign w:val="center"/>
          </w:tcPr>
          <w:p w14:paraId="38210466">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大客车（45座以上），带GPS</w:t>
            </w:r>
          </w:p>
        </w:tc>
        <w:tc>
          <w:tcPr>
            <w:tcW w:w="845" w:type="dxa"/>
            <w:shd w:val="clear" w:color="auto" w:fill="auto"/>
            <w:vAlign w:val="center"/>
          </w:tcPr>
          <w:p w14:paraId="08719053">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15</w:t>
            </w:r>
          </w:p>
        </w:tc>
        <w:tc>
          <w:tcPr>
            <w:tcW w:w="1623" w:type="dxa"/>
            <w:vAlign w:val="center"/>
          </w:tcPr>
          <w:p w14:paraId="132EAE39">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70趟</w:t>
            </w:r>
          </w:p>
        </w:tc>
        <w:tc>
          <w:tcPr>
            <w:tcW w:w="1452" w:type="dxa"/>
            <w:vAlign w:val="center"/>
          </w:tcPr>
          <w:p w14:paraId="53C58447">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450</w:t>
            </w:r>
          </w:p>
        </w:tc>
        <w:tc>
          <w:tcPr>
            <w:tcW w:w="1020" w:type="dxa"/>
            <w:vAlign w:val="center"/>
          </w:tcPr>
          <w:p w14:paraId="7DAEFF81">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472500</w:t>
            </w:r>
          </w:p>
        </w:tc>
      </w:tr>
      <w:tr w14:paraId="624D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3762523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3</w:t>
            </w:r>
          </w:p>
        </w:tc>
        <w:tc>
          <w:tcPr>
            <w:tcW w:w="2378" w:type="dxa"/>
            <w:vAlign w:val="center"/>
          </w:tcPr>
          <w:p w14:paraId="419F951C">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学校至灌云、东海、赣榆、灌南</w:t>
            </w:r>
          </w:p>
        </w:tc>
        <w:tc>
          <w:tcPr>
            <w:tcW w:w="1828" w:type="dxa"/>
            <w:vAlign w:val="center"/>
          </w:tcPr>
          <w:p w14:paraId="04467E7E">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大客车（45座以上），带GPS</w:t>
            </w:r>
          </w:p>
        </w:tc>
        <w:tc>
          <w:tcPr>
            <w:tcW w:w="845" w:type="dxa"/>
            <w:shd w:val="clear" w:color="auto" w:fill="auto"/>
            <w:vAlign w:val="center"/>
          </w:tcPr>
          <w:p w14:paraId="344B6BDB">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8</w:t>
            </w:r>
          </w:p>
        </w:tc>
        <w:tc>
          <w:tcPr>
            <w:tcW w:w="1623" w:type="dxa"/>
            <w:vAlign w:val="center"/>
          </w:tcPr>
          <w:p w14:paraId="60C1E67F">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70趟</w:t>
            </w:r>
          </w:p>
        </w:tc>
        <w:tc>
          <w:tcPr>
            <w:tcW w:w="1452" w:type="dxa"/>
            <w:vAlign w:val="center"/>
          </w:tcPr>
          <w:p w14:paraId="7EC6BD6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600</w:t>
            </w:r>
          </w:p>
        </w:tc>
        <w:tc>
          <w:tcPr>
            <w:tcW w:w="1020" w:type="dxa"/>
            <w:vAlign w:val="center"/>
          </w:tcPr>
          <w:p w14:paraId="59AA6CC0">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336000</w:t>
            </w:r>
          </w:p>
        </w:tc>
      </w:tr>
      <w:tr w14:paraId="3093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368A4F8C">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4</w:t>
            </w:r>
          </w:p>
        </w:tc>
        <w:tc>
          <w:tcPr>
            <w:tcW w:w="2378" w:type="dxa"/>
            <w:vAlign w:val="center"/>
          </w:tcPr>
          <w:p w14:paraId="46ABE77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教师接送用车，学校至东辛农场</w:t>
            </w:r>
          </w:p>
        </w:tc>
        <w:tc>
          <w:tcPr>
            <w:tcW w:w="1828" w:type="dxa"/>
            <w:vAlign w:val="center"/>
          </w:tcPr>
          <w:p w14:paraId="156F11AE">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大客车（45座以上），带GPS</w:t>
            </w:r>
          </w:p>
        </w:tc>
        <w:tc>
          <w:tcPr>
            <w:tcW w:w="845" w:type="dxa"/>
            <w:shd w:val="clear" w:color="auto" w:fill="auto"/>
            <w:vAlign w:val="center"/>
          </w:tcPr>
          <w:p w14:paraId="560501D5">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1</w:t>
            </w:r>
          </w:p>
        </w:tc>
        <w:tc>
          <w:tcPr>
            <w:tcW w:w="1623" w:type="dxa"/>
            <w:vAlign w:val="center"/>
          </w:tcPr>
          <w:p w14:paraId="4A943B6B">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200天</w:t>
            </w:r>
          </w:p>
        </w:tc>
        <w:tc>
          <w:tcPr>
            <w:tcW w:w="1452" w:type="dxa"/>
            <w:vAlign w:val="center"/>
          </w:tcPr>
          <w:p w14:paraId="4C53376B">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500</w:t>
            </w:r>
          </w:p>
        </w:tc>
        <w:tc>
          <w:tcPr>
            <w:tcW w:w="1020" w:type="dxa"/>
            <w:vAlign w:val="center"/>
          </w:tcPr>
          <w:p w14:paraId="63821D8D">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100000</w:t>
            </w:r>
          </w:p>
        </w:tc>
      </w:tr>
      <w:tr w14:paraId="4D38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3A337981">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5</w:t>
            </w:r>
          </w:p>
        </w:tc>
        <w:tc>
          <w:tcPr>
            <w:tcW w:w="6674" w:type="dxa"/>
            <w:gridSpan w:val="4"/>
            <w:vAlign w:val="center"/>
          </w:tcPr>
          <w:p w14:paraId="7296175B">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合计</w:t>
            </w:r>
          </w:p>
        </w:tc>
        <w:tc>
          <w:tcPr>
            <w:tcW w:w="1452" w:type="dxa"/>
            <w:vAlign w:val="center"/>
          </w:tcPr>
          <w:p w14:paraId="1506D1FE">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p>
        </w:tc>
        <w:tc>
          <w:tcPr>
            <w:tcW w:w="1020" w:type="dxa"/>
            <w:vAlign w:val="center"/>
          </w:tcPr>
          <w:p w14:paraId="66A784E4">
            <w:pPr>
              <w:keepNext w:val="0"/>
              <w:keepLines w:val="0"/>
              <w:pageBreakBefore w:val="0"/>
              <w:widowControl w:val="0"/>
              <w:numPr>
                <w:ilvl w:val="0"/>
                <w:numId w:val="0"/>
              </w:numPr>
              <w:kinsoku/>
              <w:wordWrap/>
              <w:overflowPunct/>
              <w:topLinePunct w:val="0"/>
              <w:autoSpaceDE/>
              <w:autoSpaceDN/>
              <w:bidi w:val="0"/>
              <w:adjustRightInd/>
              <w:snapToGrid/>
              <w:spacing w:after="0" w:line="320" w:lineRule="exact"/>
              <w:jc w:val="center"/>
              <w:textAlignment w:val="auto"/>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992500</w:t>
            </w:r>
          </w:p>
        </w:tc>
      </w:tr>
    </w:tbl>
    <w:p w14:paraId="5897D39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投标文件中必须提供</w:t>
      </w:r>
      <w:r>
        <w:rPr>
          <w:rFonts w:hint="eastAsia" w:ascii="宋体" w:hAnsi="宋体" w:eastAsia="宋体" w:cs="宋体"/>
          <w:b/>
          <w:bCs/>
          <w:color w:val="auto"/>
          <w:sz w:val="24"/>
          <w:szCs w:val="24"/>
          <w:highlight w:val="none"/>
        </w:rPr>
        <w:t>以上拟投入的承运车辆数量、</w:t>
      </w:r>
      <w:r>
        <w:rPr>
          <w:rFonts w:hint="eastAsia" w:ascii="宋体" w:hAnsi="宋体" w:cs="宋体"/>
          <w:b/>
          <w:bCs/>
          <w:color w:val="auto"/>
          <w:sz w:val="24"/>
          <w:szCs w:val="24"/>
          <w:highlight w:val="none"/>
          <w:lang w:val="en-US" w:eastAsia="zh-CN"/>
        </w:rPr>
        <w:t>车辆安全检测报告、</w:t>
      </w:r>
      <w:r>
        <w:rPr>
          <w:rFonts w:hint="eastAsia" w:ascii="宋体" w:hAnsi="宋体" w:eastAsia="宋体" w:cs="宋体"/>
          <w:b/>
          <w:bCs/>
          <w:color w:val="auto"/>
          <w:sz w:val="24"/>
          <w:szCs w:val="24"/>
          <w:highlight w:val="none"/>
        </w:rPr>
        <w:t>车牌号、</w:t>
      </w:r>
      <w:r>
        <w:rPr>
          <w:rFonts w:hint="eastAsia" w:ascii="宋体" w:hAnsi="宋体" w:eastAsia="宋体" w:cs="宋体"/>
          <w:b/>
          <w:bCs/>
          <w:color w:val="auto"/>
          <w:sz w:val="24"/>
          <w:szCs w:val="24"/>
          <w:highlight w:val="none"/>
          <w:lang w:val="en-US" w:eastAsia="zh-CN"/>
        </w:rPr>
        <w:t>车辆行驶</w:t>
      </w:r>
      <w:r>
        <w:rPr>
          <w:rFonts w:hint="eastAsia" w:ascii="宋体" w:hAnsi="宋体" w:eastAsia="宋体" w:cs="宋体"/>
          <w:b/>
          <w:bCs/>
          <w:color w:val="auto"/>
          <w:sz w:val="24"/>
          <w:szCs w:val="24"/>
          <w:highlight w:val="none"/>
        </w:rPr>
        <w:t>证、保险、驾驶员姓名、</w:t>
      </w:r>
      <w:r>
        <w:rPr>
          <w:rFonts w:hint="eastAsia" w:ascii="宋体" w:hAnsi="宋体" w:eastAsia="宋体" w:cs="宋体"/>
          <w:b/>
          <w:bCs/>
          <w:color w:val="auto"/>
          <w:sz w:val="24"/>
          <w:szCs w:val="24"/>
          <w:highlight w:val="none"/>
          <w:lang w:val="en-US" w:eastAsia="zh-CN"/>
        </w:rPr>
        <w:t>符合车型的</w:t>
      </w:r>
      <w:r>
        <w:rPr>
          <w:rFonts w:hint="eastAsia" w:ascii="宋体" w:hAnsi="宋体" w:eastAsia="宋体" w:cs="宋体"/>
          <w:b/>
          <w:bCs/>
          <w:color w:val="auto"/>
          <w:sz w:val="24"/>
          <w:szCs w:val="24"/>
          <w:highlight w:val="none"/>
        </w:rPr>
        <w:t>驾驶员证件、劳</w:t>
      </w:r>
      <w:r>
        <w:rPr>
          <w:rFonts w:hint="eastAsia" w:ascii="宋体" w:hAnsi="宋体" w:eastAsia="宋体" w:cs="宋体"/>
          <w:b/>
          <w:bCs/>
          <w:color w:val="auto"/>
          <w:sz w:val="24"/>
          <w:szCs w:val="24"/>
          <w:highlight w:val="none"/>
          <w:lang w:val="en-US" w:eastAsia="zh-CN"/>
        </w:rPr>
        <w:t>动（</w:t>
      </w:r>
      <w:r>
        <w:rPr>
          <w:rFonts w:hint="eastAsia" w:ascii="宋体" w:hAnsi="宋体" w:eastAsia="宋体" w:cs="宋体"/>
          <w:b/>
          <w:bCs/>
          <w:color w:val="auto"/>
          <w:sz w:val="24"/>
          <w:szCs w:val="24"/>
          <w:highlight w:val="none"/>
        </w:rPr>
        <w:t>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合同、社保缴费证明等，供应商在投标响应时据实列出清单并提供相关佐证</w:t>
      </w:r>
      <w:r>
        <w:rPr>
          <w:rFonts w:hint="eastAsia" w:ascii="宋体" w:hAnsi="宋体" w:eastAsia="宋体" w:cs="宋体"/>
          <w:b/>
          <w:bCs/>
          <w:color w:val="auto"/>
          <w:sz w:val="24"/>
          <w:szCs w:val="24"/>
          <w:highlight w:val="none"/>
          <w:lang w:eastAsia="zh-CN"/>
        </w:rPr>
        <w:t>。</w:t>
      </w:r>
    </w:p>
    <w:p w14:paraId="30CE0825">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color w:val="auto"/>
          <w:sz w:val="24"/>
          <w:szCs w:val="24"/>
          <w:highlight w:val="none"/>
        </w:rPr>
      </w:pPr>
      <w:r>
        <w:rPr>
          <w:rFonts w:hint="eastAsia"/>
          <w:b w:val="0"/>
          <w:color w:val="auto"/>
          <w:sz w:val="24"/>
          <w:szCs w:val="24"/>
          <w:highlight w:val="none"/>
          <w:lang w:val="en-US" w:eastAsia="zh-CN"/>
        </w:rPr>
        <w:t>2、</w:t>
      </w:r>
      <w:r>
        <w:rPr>
          <w:rFonts w:hint="eastAsia" w:ascii="宋体" w:hAnsi="宋体" w:cs="宋体"/>
          <w:color w:val="auto"/>
          <w:sz w:val="24"/>
          <w:szCs w:val="24"/>
          <w:highlight w:val="none"/>
        </w:rPr>
        <w:t>供应商制定详细周密、切</w:t>
      </w:r>
      <w:r>
        <w:rPr>
          <w:rFonts w:hint="eastAsia" w:ascii="宋体" w:hAnsi="宋体" w:eastAsia="宋体" w:cs="宋体"/>
          <w:color w:val="auto"/>
          <w:sz w:val="24"/>
          <w:szCs w:val="24"/>
          <w:highlight w:val="none"/>
        </w:rPr>
        <w:t>实可行的服务保障方案及计划，派遣经明确授权的管理人员或团队对接采购人，日常调度、管理为采购人提供服务的车辆及人员，全天候24小时响应且在半小时到达采购人指定地点，采购人有重大活动保障及应急突发用车要求时，能及时启动相关预案并满足需求。提供标准化、高质量的租车服务，包括但不限于：车辆外观整洁，车内清洁卫生，无烟味、异味；驾驶员着装整齐，</w:t>
      </w:r>
      <w:r>
        <w:rPr>
          <w:rFonts w:hint="eastAsia" w:ascii="宋体" w:hAnsi="宋体" w:cs="宋体"/>
          <w:color w:val="auto"/>
          <w:sz w:val="24"/>
          <w:szCs w:val="24"/>
          <w:highlight w:val="none"/>
        </w:rPr>
        <w:t>态度端正，文明、规范、安全行车；充分吸纳采购人要求改进服务质量、创新服务方式的合理建议、意见，认真调查、处理各类服务投诉并</w:t>
      </w:r>
      <w:r>
        <w:rPr>
          <w:rFonts w:hint="eastAsia" w:ascii="宋体" w:hAnsi="宋体" w:cs="宋体"/>
          <w:color w:val="auto"/>
          <w:sz w:val="24"/>
          <w:szCs w:val="24"/>
          <w:highlight w:val="none"/>
          <w:lang w:eastAsia="zh-CN"/>
        </w:rPr>
        <w:t>及时</w:t>
      </w:r>
      <w:r>
        <w:rPr>
          <w:rFonts w:hint="eastAsia" w:ascii="宋体" w:hAnsi="宋体" w:cs="宋体"/>
          <w:color w:val="auto"/>
          <w:sz w:val="24"/>
          <w:szCs w:val="24"/>
          <w:highlight w:val="none"/>
        </w:rPr>
        <w:t>向采购人反馈等。</w:t>
      </w:r>
    </w:p>
    <w:p w14:paraId="7D312F68">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供应商安全管理制度、措施健全完善，方案及计划行之有效并付诸实施，自觉接受采购人的监督管理。</w:t>
      </w:r>
    </w:p>
    <w:p w14:paraId="5D97AD3D">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1）包括但不限于：传达、学习政府及采购人涉及安全方面的文件、会议、通知精神，观看警示教育片，剖析典型案例，结合自身情况加强、改进安全工作，消除事故隐患；经常性对车辆进行安全检查、养护维修，确保车辆状况良好、安全性能可靠，严禁带病出车，严禁车内（包括驾驶员）携带违禁物品，严禁超载，不得人货混装；开展驾驶员日常安全教育及培训，对每一次安全、文明行车提出具体要求，严禁疲劳驾驶，严禁酒后驾车，不得在驾车时开展无关事宜；建立监控系统，对车辆去向动态、行车轨迹、车内状况等进行实时监控，出现违规情况，即时提醒，保障车辆运行规范、安全，同时，要求监控资料可溯源，且只能提供给采购人查阅。此外，供应商应根据政府及采购人要求，严格遵守道路运输、交通安全相关法律法规、规章制度，落实相关工作。</w:t>
      </w:r>
    </w:p>
    <w:p w14:paraId="583705E3">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2）供应商车辆在校园内行驶和停放时，除遵守各项法律法规外，还应当遵守采购人有关校园交通秩序和安全管理的各项规章制度，采购人可以对校园一般违规车辆给予警告并责令整改；情节严重的，扣除履约保证金；情节严重并造成严重后果的，无条件解除合同并追究相关责任。</w:t>
      </w:r>
    </w:p>
    <w:p w14:paraId="0A19DAF3">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提供服务的车辆发生交通事故、对采购人内部的乘车人员及其他人员造成伤害时，不论政府对事故责任界定如何，均由供应商承担对乘车人员及其他人员造成伤害的全部法律责任且不仅限于保险金额范围内。采购人如派出人员、设备投入参加救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所产生的费用均由供应商负担。</w:t>
      </w:r>
    </w:p>
    <w:p w14:paraId="473901EE">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hAnsi="宋体" w:cs="宋体"/>
          <w:b w:val="0"/>
          <w:color w:val="auto"/>
          <w:sz w:val="24"/>
          <w:szCs w:val="24"/>
          <w:highlight w:val="none"/>
        </w:rPr>
        <w:t>合同服务期内，</w:t>
      </w:r>
      <w:r>
        <w:rPr>
          <w:rFonts w:hint="eastAsia" w:hAnsi="宋体" w:cs="宋体"/>
          <w:b w:val="0"/>
          <w:color w:val="auto"/>
          <w:sz w:val="24"/>
          <w:szCs w:val="24"/>
          <w:highlight w:val="none"/>
          <w:lang w:eastAsia="zh-CN"/>
        </w:rPr>
        <w:t>供应商</w:t>
      </w:r>
      <w:r>
        <w:rPr>
          <w:rFonts w:hint="eastAsia" w:hAnsi="宋体" w:cs="宋体"/>
          <w:b w:val="0"/>
          <w:color w:val="auto"/>
          <w:sz w:val="24"/>
          <w:szCs w:val="24"/>
          <w:highlight w:val="none"/>
        </w:rPr>
        <w:t>的车辆发生交通事故时，由</w:t>
      </w:r>
      <w:r>
        <w:rPr>
          <w:rFonts w:hint="eastAsia" w:hAnsi="宋体" w:cs="宋体"/>
          <w:b w:val="0"/>
          <w:color w:val="auto"/>
          <w:sz w:val="24"/>
          <w:szCs w:val="24"/>
          <w:highlight w:val="none"/>
          <w:lang w:eastAsia="zh-CN"/>
        </w:rPr>
        <w:t>供应商</w:t>
      </w:r>
      <w:r>
        <w:rPr>
          <w:rFonts w:hint="eastAsia" w:hAnsi="宋体" w:cs="宋体"/>
          <w:b w:val="0"/>
          <w:color w:val="auto"/>
          <w:sz w:val="24"/>
          <w:szCs w:val="24"/>
          <w:highlight w:val="none"/>
        </w:rPr>
        <w:t>自行处理，</w:t>
      </w:r>
      <w:r>
        <w:rPr>
          <w:rFonts w:hint="eastAsia" w:hAnsi="宋体" w:cs="宋体"/>
          <w:b w:val="0"/>
          <w:color w:val="auto"/>
          <w:sz w:val="24"/>
          <w:szCs w:val="24"/>
          <w:highlight w:val="none"/>
          <w:lang w:eastAsia="zh-CN"/>
        </w:rPr>
        <w:t>采购人</w:t>
      </w:r>
      <w:r>
        <w:rPr>
          <w:rFonts w:hint="eastAsia" w:hAnsi="宋体" w:cs="宋体"/>
          <w:b w:val="0"/>
          <w:color w:val="auto"/>
          <w:sz w:val="24"/>
          <w:szCs w:val="24"/>
          <w:highlight w:val="none"/>
        </w:rPr>
        <w:t>可以协助</w:t>
      </w:r>
      <w:r>
        <w:rPr>
          <w:rFonts w:hint="eastAsia" w:hAnsi="宋体" w:cs="宋体"/>
          <w:b w:val="0"/>
          <w:color w:val="auto"/>
          <w:sz w:val="24"/>
          <w:szCs w:val="24"/>
          <w:highlight w:val="none"/>
          <w:lang w:eastAsia="zh-CN"/>
        </w:rPr>
        <w:t>供应商</w:t>
      </w:r>
      <w:r>
        <w:rPr>
          <w:rFonts w:hint="eastAsia" w:hAnsi="宋体" w:cs="宋体"/>
          <w:b w:val="0"/>
          <w:color w:val="auto"/>
          <w:sz w:val="24"/>
          <w:szCs w:val="24"/>
          <w:highlight w:val="none"/>
        </w:rPr>
        <w:t>做好善后工作，但不承担任何责任和费用。</w:t>
      </w:r>
      <w:r>
        <w:rPr>
          <w:rFonts w:hint="eastAsia" w:ascii="宋体" w:hAnsi="宋体" w:cs="宋体"/>
          <w:color w:val="auto"/>
          <w:sz w:val="24"/>
          <w:szCs w:val="24"/>
          <w:highlight w:val="none"/>
        </w:rPr>
        <w:t>发生交通事故时，供应商应立即向公安、交警部门、车辆保险部门报告立案，及时派人到达现场处理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并向采购人报告事故情况并登记：一般事故自发生事故起48小时内向采购人报告登记；对采购人的乘车人员造成伤害的事故，自发生事故起1小时内向采购人报告登记。</w:t>
      </w:r>
    </w:p>
    <w:p w14:paraId="7F614C87">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hAnsi="宋体" w:cs="宋体"/>
          <w:b w:val="0"/>
          <w:color w:val="auto"/>
          <w:sz w:val="24"/>
          <w:szCs w:val="24"/>
          <w:highlight w:val="none"/>
        </w:rPr>
      </w:pPr>
      <w:r>
        <w:rPr>
          <w:rFonts w:hint="eastAsia" w:hAnsi="宋体" w:cs="宋体"/>
          <w:b w:val="0"/>
          <w:color w:val="auto"/>
          <w:sz w:val="24"/>
          <w:szCs w:val="24"/>
          <w:highlight w:val="none"/>
          <w:lang w:eastAsia="zh-CN"/>
        </w:rPr>
        <w:t>（</w:t>
      </w:r>
      <w:r>
        <w:rPr>
          <w:rFonts w:hint="eastAsia" w:hAnsi="宋体" w:cs="宋体"/>
          <w:b w:val="0"/>
          <w:color w:val="auto"/>
          <w:sz w:val="24"/>
          <w:szCs w:val="24"/>
          <w:highlight w:val="none"/>
          <w:lang w:val="en-US" w:eastAsia="zh-CN"/>
        </w:rPr>
        <w:t>5）</w:t>
      </w:r>
      <w:r>
        <w:rPr>
          <w:rFonts w:hint="eastAsia" w:hAnsi="宋体" w:cs="宋体"/>
          <w:b w:val="0"/>
          <w:color w:val="auto"/>
          <w:sz w:val="24"/>
          <w:szCs w:val="24"/>
          <w:highlight w:val="none"/>
        </w:rPr>
        <w:t>合同</w:t>
      </w:r>
      <w:r>
        <w:rPr>
          <w:rFonts w:hint="eastAsia" w:hAnsi="宋体" w:cs="宋体"/>
          <w:b w:val="0"/>
          <w:color w:val="auto"/>
          <w:sz w:val="24"/>
          <w:szCs w:val="24"/>
          <w:highlight w:val="none"/>
          <w:lang w:val="en-US" w:eastAsia="zh-CN"/>
        </w:rPr>
        <w:t>服务</w:t>
      </w:r>
      <w:r>
        <w:rPr>
          <w:rFonts w:hint="eastAsia" w:hAnsi="宋体" w:cs="宋体"/>
          <w:b w:val="0"/>
          <w:color w:val="auto"/>
          <w:sz w:val="24"/>
          <w:szCs w:val="24"/>
          <w:highlight w:val="none"/>
        </w:rPr>
        <w:t>期内，</w:t>
      </w:r>
      <w:r>
        <w:rPr>
          <w:rFonts w:hint="eastAsia" w:hAnsi="宋体" w:cs="宋体"/>
          <w:b w:val="0"/>
          <w:color w:val="auto"/>
          <w:sz w:val="24"/>
          <w:szCs w:val="24"/>
          <w:highlight w:val="none"/>
          <w:lang w:eastAsia="zh-CN"/>
        </w:rPr>
        <w:t>供应商</w:t>
      </w:r>
      <w:r>
        <w:rPr>
          <w:rFonts w:hint="eastAsia" w:hAnsi="宋体" w:cs="宋体"/>
          <w:b w:val="0"/>
          <w:color w:val="auto"/>
          <w:sz w:val="24"/>
          <w:szCs w:val="24"/>
          <w:highlight w:val="none"/>
        </w:rPr>
        <w:t>的车辆进行常规维修保养时，</w:t>
      </w:r>
      <w:r>
        <w:rPr>
          <w:rFonts w:hint="eastAsia" w:hAnsi="宋体" w:cs="宋体"/>
          <w:b w:val="0"/>
          <w:color w:val="auto"/>
          <w:sz w:val="24"/>
          <w:szCs w:val="24"/>
          <w:highlight w:val="none"/>
          <w:lang w:eastAsia="zh-CN"/>
        </w:rPr>
        <w:t>供应商</w:t>
      </w:r>
      <w:r>
        <w:rPr>
          <w:rFonts w:hint="eastAsia" w:hAnsi="宋体" w:cs="宋体"/>
          <w:b w:val="0"/>
          <w:color w:val="auto"/>
          <w:sz w:val="24"/>
          <w:szCs w:val="24"/>
          <w:highlight w:val="none"/>
        </w:rPr>
        <w:t>应及时为</w:t>
      </w:r>
      <w:r>
        <w:rPr>
          <w:rFonts w:hint="eastAsia" w:hAnsi="宋体" w:cs="宋体"/>
          <w:b w:val="0"/>
          <w:color w:val="auto"/>
          <w:sz w:val="24"/>
          <w:szCs w:val="24"/>
          <w:highlight w:val="none"/>
          <w:lang w:eastAsia="zh-CN"/>
        </w:rPr>
        <w:t>采购人</w:t>
      </w:r>
      <w:r>
        <w:rPr>
          <w:rFonts w:hint="eastAsia" w:hAnsi="宋体" w:cs="宋体"/>
          <w:b w:val="0"/>
          <w:color w:val="auto"/>
          <w:sz w:val="24"/>
          <w:szCs w:val="24"/>
          <w:highlight w:val="none"/>
        </w:rPr>
        <w:t>提供同种、同质车辆供</w:t>
      </w:r>
      <w:r>
        <w:rPr>
          <w:rFonts w:hint="eastAsia" w:hAnsi="宋体" w:cs="宋体"/>
          <w:b w:val="0"/>
          <w:color w:val="auto"/>
          <w:sz w:val="24"/>
          <w:szCs w:val="24"/>
          <w:highlight w:val="none"/>
          <w:lang w:eastAsia="zh-CN"/>
        </w:rPr>
        <w:t>采购人</w:t>
      </w:r>
      <w:r>
        <w:rPr>
          <w:rFonts w:hint="eastAsia" w:hAnsi="宋体" w:cs="宋体"/>
          <w:b w:val="0"/>
          <w:color w:val="auto"/>
          <w:sz w:val="24"/>
          <w:szCs w:val="24"/>
          <w:highlight w:val="none"/>
        </w:rPr>
        <w:t>正常使用。否则，承租方有权扣除此期间租金。</w:t>
      </w:r>
    </w:p>
    <w:p w14:paraId="2749FB95">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default" w:hAnsi="宋体" w:eastAsia="宋体" w:cs="宋体"/>
          <w:b w:val="0"/>
          <w:color w:val="auto"/>
          <w:sz w:val="24"/>
          <w:szCs w:val="24"/>
          <w:highlight w:val="none"/>
          <w:lang w:val="en-US" w:eastAsia="zh-CN"/>
        </w:rPr>
      </w:pPr>
      <w:r>
        <w:rPr>
          <w:rFonts w:hint="eastAsia" w:hAnsi="宋体" w:cs="宋体"/>
          <w:b w:val="0"/>
          <w:color w:val="auto"/>
          <w:sz w:val="24"/>
          <w:szCs w:val="24"/>
          <w:highlight w:val="none"/>
          <w:lang w:eastAsia="zh-CN"/>
        </w:rPr>
        <w:t>（</w:t>
      </w:r>
      <w:r>
        <w:rPr>
          <w:rFonts w:hint="eastAsia" w:hAnsi="宋体" w:cs="宋体"/>
          <w:b w:val="0"/>
          <w:color w:val="auto"/>
          <w:sz w:val="24"/>
          <w:szCs w:val="24"/>
          <w:highlight w:val="none"/>
          <w:lang w:val="en-US" w:eastAsia="zh-CN"/>
        </w:rPr>
        <w:t>6</w:t>
      </w:r>
      <w:r>
        <w:rPr>
          <w:rFonts w:hint="eastAsia" w:hAnsi="宋体" w:cs="宋体"/>
          <w:b w:val="0"/>
          <w:color w:val="auto"/>
          <w:sz w:val="24"/>
          <w:szCs w:val="24"/>
          <w:highlight w:val="none"/>
          <w:lang w:eastAsia="zh-CN"/>
        </w:rPr>
        <w:t>）</w:t>
      </w:r>
      <w:r>
        <w:rPr>
          <w:rFonts w:hint="eastAsia" w:hAnsi="宋体" w:cs="宋体"/>
          <w:b w:val="0"/>
          <w:color w:val="auto"/>
          <w:sz w:val="24"/>
          <w:szCs w:val="24"/>
          <w:highlight w:val="none"/>
          <w:lang w:val="en-US" w:eastAsia="zh-CN"/>
        </w:rPr>
        <w:t>合同签订后车辆相关信息必须录入徐圩新区公车平台。</w:t>
      </w:r>
    </w:p>
    <w:p w14:paraId="0B9BBF0D">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hAnsi="宋体" w:cs="宋体"/>
          <w:b w:val="0"/>
          <w:color w:val="auto"/>
          <w:sz w:val="24"/>
          <w:szCs w:val="24"/>
          <w:highlight w:val="none"/>
        </w:rPr>
      </w:pPr>
      <w:r>
        <w:rPr>
          <w:rFonts w:hint="eastAsia" w:hAnsi="宋体" w:cs="宋体"/>
          <w:b w:val="0"/>
          <w:color w:val="auto"/>
          <w:sz w:val="24"/>
          <w:szCs w:val="24"/>
          <w:highlight w:val="none"/>
          <w:lang w:val="en-US" w:eastAsia="zh-CN"/>
        </w:rPr>
        <w:t>6、</w:t>
      </w:r>
      <w:r>
        <w:rPr>
          <w:rFonts w:hint="eastAsia" w:hAnsi="宋体" w:cs="宋体"/>
          <w:b w:val="0"/>
          <w:color w:val="auto"/>
          <w:sz w:val="24"/>
          <w:szCs w:val="24"/>
          <w:highlight w:val="none"/>
        </w:rPr>
        <w:t>接送站车辆至少应提前半小时到达</w:t>
      </w:r>
      <w:r>
        <w:rPr>
          <w:rFonts w:hint="eastAsia" w:hAnsi="宋体" w:cs="宋体"/>
          <w:b w:val="0"/>
          <w:color w:val="auto"/>
          <w:sz w:val="24"/>
          <w:szCs w:val="24"/>
          <w:highlight w:val="none"/>
          <w:lang w:eastAsia="zh-CN"/>
        </w:rPr>
        <w:t>采购人</w:t>
      </w:r>
      <w:r>
        <w:rPr>
          <w:rFonts w:hint="eastAsia" w:hAnsi="宋体" w:cs="宋体"/>
          <w:b w:val="0"/>
          <w:color w:val="auto"/>
          <w:sz w:val="24"/>
          <w:szCs w:val="24"/>
          <w:highlight w:val="none"/>
        </w:rPr>
        <w:t>指定地点等候，如发生车辆故障或无法提供服务时，中标人应及时提供应急保障车辆并确保30分钟内到达</w:t>
      </w:r>
      <w:r>
        <w:rPr>
          <w:rFonts w:hint="eastAsia" w:hAnsi="宋体" w:cs="宋体"/>
          <w:b w:val="0"/>
          <w:color w:val="auto"/>
          <w:sz w:val="24"/>
          <w:szCs w:val="24"/>
          <w:highlight w:val="none"/>
          <w:lang w:eastAsia="zh-CN"/>
        </w:rPr>
        <w:t>采购人</w:t>
      </w:r>
      <w:r>
        <w:rPr>
          <w:rFonts w:hint="eastAsia" w:hAnsi="宋体" w:cs="宋体"/>
          <w:b w:val="0"/>
          <w:color w:val="auto"/>
          <w:sz w:val="24"/>
          <w:szCs w:val="24"/>
          <w:highlight w:val="none"/>
        </w:rPr>
        <w:t>指定地点。</w:t>
      </w:r>
    </w:p>
    <w:p w14:paraId="0F419940">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hAnsi="宋体" w:cs="宋体"/>
          <w:bCs/>
          <w:i w:val="0"/>
          <w:iCs w:val="0"/>
          <w:color w:val="auto"/>
          <w:sz w:val="24"/>
          <w:szCs w:val="24"/>
          <w:highlight w:val="none"/>
          <w:u w:val="none"/>
        </w:rPr>
      </w:pPr>
      <w:r>
        <w:rPr>
          <w:rFonts w:hint="eastAsia" w:hAnsi="宋体" w:cs="宋体"/>
          <w:b w:val="0"/>
          <w:i w:val="0"/>
          <w:iCs w:val="0"/>
          <w:color w:val="auto"/>
          <w:sz w:val="24"/>
          <w:szCs w:val="24"/>
          <w:highlight w:val="none"/>
          <w:u w:val="none"/>
          <w:lang w:val="en-US" w:eastAsia="zh-CN"/>
        </w:rPr>
        <w:t>7、</w:t>
      </w:r>
      <w:r>
        <w:rPr>
          <w:rFonts w:hint="eastAsia" w:hAnsi="宋体" w:cs="宋体"/>
          <w:b w:val="0"/>
          <w:i w:val="0"/>
          <w:iCs w:val="0"/>
          <w:color w:val="auto"/>
          <w:sz w:val="24"/>
          <w:szCs w:val="24"/>
          <w:highlight w:val="none"/>
          <w:u w:val="none"/>
        </w:rPr>
        <w:t>车辆要求：</w:t>
      </w:r>
      <w:r>
        <w:rPr>
          <w:rFonts w:hint="eastAsia" w:hAnsi="宋体" w:cs="宋体"/>
          <w:i w:val="0"/>
          <w:iCs w:val="0"/>
          <w:color w:val="auto"/>
          <w:sz w:val="24"/>
          <w:szCs w:val="24"/>
          <w:highlight w:val="none"/>
          <w:u w:val="none"/>
        </w:rPr>
        <w:t>所有车型提供的车辆需</w:t>
      </w:r>
      <w:r>
        <w:rPr>
          <w:rFonts w:hint="eastAsia" w:hAnsi="宋体" w:cs="宋体"/>
          <w:bCs/>
          <w:i w:val="0"/>
          <w:iCs w:val="0"/>
          <w:color w:val="auto"/>
          <w:sz w:val="24"/>
          <w:szCs w:val="24"/>
          <w:highlight w:val="none"/>
          <w:u w:val="none"/>
        </w:rPr>
        <w:t>符合《中华人民共和国道路交通安全法》规定的安全行驶相关要求。</w:t>
      </w:r>
    </w:p>
    <w:p w14:paraId="1BB7DCEF">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hAnsi="宋体" w:cs="宋体"/>
          <w:bCs/>
          <w:i w:val="0"/>
          <w:iCs w:val="0"/>
          <w:color w:val="auto"/>
          <w:sz w:val="24"/>
          <w:szCs w:val="24"/>
          <w:highlight w:val="none"/>
          <w:u w:val="none"/>
        </w:rPr>
      </w:pPr>
      <w:r>
        <w:rPr>
          <w:rFonts w:hint="eastAsia" w:hAnsi="宋体" w:cs="宋体"/>
          <w:bCs/>
          <w:i w:val="0"/>
          <w:iCs w:val="0"/>
          <w:color w:val="auto"/>
          <w:sz w:val="24"/>
          <w:szCs w:val="24"/>
          <w:highlight w:val="none"/>
          <w:u w:val="none"/>
          <w:lang w:val="en-US" w:eastAsia="zh-CN"/>
        </w:rPr>
        <w:t>8、</w:t>
      </w:r>
      <w:r>
        <w:rPr>
          <w:rFonts w:hint="eastAsia" w:hAnsi="宋体" w:cs="宋体"/>
          <w:bCs/>
          <w:i w:val="0"/>
          <w:iCs w:val="0"/>
          <w:color w:val="auto"/>
          <w:sz w:val="24"/>
          <w:szCs w:val="24"/>
          <w:highlight w:val="none"/>
          <w:u w:val="none"/>
        </w:rPr>
        <w:t>驾驶员要求：所有驾驶人员应合法持有驾照（驾照等级满足准驾车型要求），身体健康，具备安全驾驶条件。</w:t>
      </w:r>
    </w:p>
    <w:p w14:paraId="449E4388">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hAnsi="宋体" w:cs="宋体"/>
          <w:b w:val="0"/>
          <w:color w:val="auto"/>
          <w:sz w:val="24"/>
          <w:szCs w:val="24"/>
          <w:highlight w:val="none"/>
          <w:u w:val="none"/>
          <w:lang w:val="en-US" w:eastAsia="zh-CN"/>
        </w:rPr>
        <w:t>9、</w:t>
      </w:r>
      <w:r>
        <w:rPr>
          <w:rFonts w:hint="eastAsia" w:ascii="宋体" w:hAnsi="宋体" w:cs="宋体"/>
          <w:color w:val="auto"/>
          <w:sz w:val="24"/>
          <w:szCs w:val="24"/>
          <w:highlight w:val="none"/>
          <w:u w:val="none"/>
        </w:rPr>
        <w:t>中标的供应商在提供服务过程</w:t>
      </w:r>
      <w:r>
        <w:rPr>
          <w:rFonts w:hint="eastAsia" w:ascii="宋体" w:hAnsi="宋体" w:cs="宋体"/>
          <w:color w:val="auto"/>
          <w:sz w:val="24"/>
          <w:szCs w:val="24"/>
          <w:highlight w:val="none"/>
        </w:rPr>
        <w:t>中，如发生以下情形之一的，采购人有权无条件解除合同并保留进一步追究法律责任的权利：</w:t>
      </w:r>
    </w:p>
    <w:p w14:paraId="350D0214">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（1）提供虚假材料或通过不正当手段中标，但在评标过程中未被发现的； </w:t>
      </w:r>
    </w:p>
    <w:p w14:paraId="4CF48A63">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2）不遵守政府及采购人关于道路运输、交通安全、校园交通秩序和安全管理方面的法律法规、规章制度、文件通知，不支持配合采购人的监督管理工作，安全责任落实及工作开展不到位，对采购人提出的问题拒不整改或整改未达要求的； </w:t>
      </w:r>
    </w:p>
    <w:p w14:paraId="005F72E0">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（3）提供服务时，触及法律法规及其它强制性文件的禁止事项、行为，对行车过程造成安全隐患的； </w:t>
      </w:r>
    </w:p>
    <w:p w14:paraId="60D1B4C3">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（4）发生交通事故、对采购人的乘车人员及其他人员造成伤害，且在事故责任鉴定中承担一定或全部过错的；</w:t>
      </w:r>
    </w:p>
    <w:p w14:paraId="3A666B29">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（5）服务意识及质量较差，被采购人的内部单位或乘车人员累计投诉3次及以上的； </w:t>
      </w:r>
    </w:p>
    <w:p w14:paraId="1CE61250">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（6）结算费用时不按采购人要求规范、据实结算的；</w:t>
      </w:r>
    </w:p>
    <w:p w14:paraId="40EE2798">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（7）造成采购人校园安全风险的；</w:t>
      </w:r>
    </w:p>
    <w:p w14:paraId="5D899BEE">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color w:val="auto"/>
          <w:sz w:val="24"/>
          <w:szCs w:val="24"/>
          <w:highlight w:val="none"/>
        </w:rPr>
      </w:pPr>
      <w:r>
        <w:rPr>
          <w:rFonts w:hint="eastAsia" w:ascii="宋体" w:hAnsi="宋体" w:cs="宋体"/>
          <w:color w:val="auto"/>
          <w:sz w:val="24"/>
          <w:szCs w:val="24"/>
          <w:highlight w:val="none"/>
        </w:rPr>
        <w:t>（8）未经甲方书面允许，擅自将本合同项下义务转包或分包给第三方的；</w:t>
      </w:r>
    </w:p>
    <w:p w14:paraId="1017A889">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）法律法规及本招标文件规定的属可解除合同的其它事项。</w:t>
      </w:r>
    </w:p>
    <w:p w14:paraId="7CBACB93">
      <w:pPr>
        <w:keepNext w:val="0"/>
        <w:keepLines w:val="0"/>
        <w:pageBreakBefore w:val="0"/>
        <w:widowControl w:val="0"/>
        <w:tabs>
          <w:tab w:val="left" w:pos="3272"/>
        </w:tabs>
        <w:kinsoku/>
        <w:wordWrap/>
        <w:overflowPunct/>
        <w:topLinePunct w:val="0"/>
        <w:autoSpaceDE/>
        <w:autoSpaceDN/>
        <w:bidi w:val="0"/>
        <w:adjustRightInd/>
        <w:snapToGrid/>
        <w:spacing w:line="520" w:lineRule="exact"/>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线路安排：</w:t>
      </w:r>
    </w:p>
    <w:p w14:paraId="2AF9D70C">
      <w:pPr>
        <w:keepNext w:val="0"/>
        <w:keepLines w:val="0"/>
        <w:pageBreakBefore w:val="0"/>
        <w:widowControl w:val="0"/>
        <w:kinsoku/>
        <w:wordWrap/>
        <w:overflowPunct/>
        <w:topLinePunct w:val="0"/>
        <w:autoSpaceDE/>
        <w:autoSpaceDN/>
        <w:bidi w:val="0"/>
        <w:adjustRightInd/>
        <w:snapToGrid/>
        <w:spacing w:line="520" w:lineRule="exact"/>
        <w:ind w:firstLine="420"/>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接送师生车辆线路安排表</w:t>
      </w:r>
    </w:p>
    <w:tbl>
      <w:tblPr>
        <w:tblStyle w:val="31"/>
        <w:tblpPr w:leftFromText="180" w:rightFromText="180" w:vertAnchor="text" w:horzAnchor="page" w:tblpX="1409" w:tblpY="11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1093"/>
        <w:gridCol w:w="6060"/>
        <w:gridCol w:w="788"/>
      </w:tblGrid>
      <w:tr w14:paraId="19988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4E9F38FB">
            <w:pPr>
              <w:pStyle w:val="305"/>
              <w:spacing w:before="123"/>
              <w:ind w:left="90" w:right="127"/>
              <w:jc w:val="center"/>
              <w:rPr>
                <w:color w:val="auto"/>
                <w:sz w:val="24"/>
                <w:szCs w:val="24"/>
                <w:highlight w:val="none"/>
              </w:rPr>
            </w:pPr>
            <w:r>
              <w:rPr>
                <w:color w:val="auto"/>
                <w:sz w:val="24"/>
                <w:szCs w:val="24"/>
                <w:highlight w:val="none"/>
              </w:rPr>
              <w:t>序号</w:t>
            </w:r>
          </w:p>
        </w:tc>
        <w:tc>
          <w:tcPr>
            <w:tcW w:w="1093" w:type="dxa"/>
            <w:vAlign w:val="center"/>
          </w:tcPr>
          <w:p w14:paraId="67BD10B8">
            <w:pPr>
              <w:pStyle w:val="305"/>
              <w:spacing w:before="122"/>
              <w:ind w:left="223" w:right="215"/>
              <w:jc w:val="center"/>
              <w:rPr>
                <w:color w:val="auto"/>
                <w:position w:val="1"/>
                <w:sz w:val="24"/>
                <w:szCs w:val="24"/>
                <w:highlight w:val="none"/>
              </w:rPr>
            </w:pPr>
            <w:r>
              <w:rPr>
                <w:color w:val="auto"/>
                <w:position w:val="1"/>
                <w:sz w:val="24"/>
                <w:szCs w:val="24"/>
                <w:highlight w:val="none"/>
              </w:rPr>
              <w:t>方向</w:t>
            </w:r>
          </w:p>
        </w:tc>
        <w:tc>
          <w:tcPr>
            <w:tcW w:w="6060" w:type="dxa"/>
            <w:vAlign w:val="center"/>
          </w:tcPr>
          <w:p w14:paraId="54462329">
            <w:pPr>
              <w:pStyle w:val="305"/>
              <w:spacing w:before="122"/>
              <w:ind w:left="223" w:right="215"/>
              <w:jc w:val="center"/>
              <w:rPr>
                <w:color w:val="auto"/>
                <w:position w:val="1"/>
                <w:sz w:val="24"/>
                <w:szCs w:val="24"/>
                <w:highlight w:val="none"/>
              </w:rPr>
            </w:pPr>
            <w:r>
              <w:rPr>
                <w:color w:val="auto"/>
                <w:position w:val="1"/>
                <w:sz w:val="24"/>
                <w:szCs w:val="24"/>
                <w:highlight w:val="none"/>
              </w:rPr>
              <w:t>运行线路</w:t>
            </w:r>
          </w:p>
        </w:tc>
        <w:tc>
          <w:tcPr>
            <w:tcW w:w="788" w:type="dxa"/>
            <w:vAlign w:val="center"/>
          </w:tcPr>
          <w:p w14:paraId="0725001F">
            <w:pPr>
              <w:pStyle w:val="305"/>
              <w:spacing w:before="123"/>
              <w:ind w:left="114"/>
              <w:jc w:val="center"/>
              <w:rPr>
                <w:color w:val="auto"/>
                <w:sz w:val="24"/>
                <w:szCs w:val="24"/>
                <w:highlight w:val="none"/>
              </w:rPr>
            </w:pPr>
            <w:r>
              <w:rPr>
                <w:color w:val="auto"/>
                <w:sz w:val="24"/>
                <w:szCs w:val="24"/>
                <w:highlight w:val="none"/>
              </w:rPr>
              <w:t>备注</w:t>
            </w:r>
          </w:p>
        </w:tc>
      </w:tr>
      <w:tr w14:paraId="6590B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1E63751E">
            <w:pPr>
              <w:pStyle w:val="305"/>
              <w:spacing w:before="59"/>
              <w:ind w:left="43"/>
              <w:jc w:val="center"/>
              <w:rPr>
                <w:rFonts w:ascii="Times New Roman"/>
                <w:color w:val="auto"/>
                <w:sz w:val="24"/>
                <w:szCs w:val="24"/>
                <w:highlight w:val="none"/>
              </w:rPr>
            </w:pPr>
            <w:r>
              <w:rPr>
                <w:rFonts w:ascii="Times New Roman"/>
                <w:color w:val="auto"/>
                <w:w w:val="100"/>
                <w:sz w:val="24"/>
                <w:szCs w:val="24"/>
                <w:highlight w:val="none"/>
              </w:rPr>
              <w:t>1</w:t>
            </w:r>
          </w:p>
        </w:tc>
        <w:tc>
          <w:tcPr>
            <w:tcW w:w="1093" w:type="dxa"/>
            <w:vMerge w:val="restart"/>
            <w:vAlign w:val="center"/>
          </w:tcPr>
          <w:p w14:paraId="1263A96B">
            <w:pPr>
              <w:pStyle w:val="305"/>
              <w:spacing w:before="122"/>
              <w:ind w:left="223" w:right="215"/>
              <w:jc w:val="center"/>
              <w:rPr>
                <w:rFonts w:hint="eastAsia"/>
                <w:color w:val="auto"/>
                <w:position w:val="1"/>
                <w:sz w:val="24"/>
                <w:szCs w:val="24"/>
                <w:highlight w:val="none"/>
              </w:rPr>
            </w:pPr>
            <w:r>
              <w:rPr>
                <w:rFonts w:hint="eastAsia"/>
                <w:color w:val="auto"/>
                <w:position w:val="1"/>
                <w:sz w:val="24"/>
                <w:szCs w:val="24"/>
                <w:highlight w:val="none"/>
              </w:rPr>
              <w:t>学校至东辛校区</w:t>
            </w:r>
          </w:p>
        </w:tc>
        <w:tc>
          <w:tcPr>
            <w:tcW w:w="6060" w:type="dxa"/>
            <w:vAlign w:val="center"/>
          </w:tcPr>
          <w:p w14:paraId="7C11241B">
            <w:pPr>
              <w:pStyle w:val="305"/>
              <w:spacing w:before="122"/>
              <w:ind w:left="223" w:right="215"/>
              <w:jc w:val="center"/>
              <w:rPr>
                <w:color w:val="auto"/>
                <w:position w:val="1"/>
                <w:sz w:val="24"/>
                <w:szCs w:val="24"/>
                <w:highlight w:val="none"/>
              </w:rPr>
            </w:pPr>
            <w:r>
              <w:rPr>
                <w:color w:val="auto"/>
                <w:position w:val="1"/>
                <w:sz w:val="24"/>
                <w:szCs w:val="24"/>
                <w:highlight w:val="none"/>
              </w:rPr>
              <w:t>生物中专-东辛农场职中校内 1</w:t>
            </w:r>
          </w:p>
        </w:tc>
        <w:tc>
          <w:tcPr>
            <w:tcW w:w="788" w:type="dxa"/>
            <w:vAlign w:val="center"/>
          </w:tcPr>
          <w:p w14:paraId="612A6C78">
            <w:pPr>
              <w:pStyle w:val="305"/>
              <w:jc w:val="center"/>
              <w:rPr>
                <w:rFonts w:ascii="Times New Roman"/>
                <w:color w:val="auto"/>
                <w:sz w:val="24"/>
                <w:szCs w:val="24"/>
                <w:highlight w:val="none"/>
              </w:rPr>
            </w:pPr>
          </w:p>
        </w:tc>
      </w:tr>
      <w:tr w14:paraId="11251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5D2B53F3">
            <w:pPr>
              <w:pStyle w:val="305"/>
              <w:spacing w:before="59"/>
              <w:ind w:left="43"/>
              <w:jc w:val="center"/>
              <w:rPr>
                <w:rFonts w:ascii="Times New Roman"/>
                <w:color w:val="auto"/>
                <w:sz w:val="24"/>
                <w:szCs w:val="24"/>
                <w:highlight w:val="none"/>
              </w:rPr>
            </w:pPr>
            <w:r>
              <w:rPr>
                <w:rFonts w:ascii="Times New Roman"/>
                <w:color w:val="auto"/>
                <w:w w:val="100"/>
                <w:sz w:val="24"/>
                <w:szCs w:val="24"/>
                <w:highlight w:val="none"/>
              </w:rPr>
              <w:t>2</w:t>
            </w:r>
          </w:p>
        </w:tc>
        <w:tc>
          <w:tcPr>
            <w:tcW w:w="1093" w:type="dxa"/>
            <w:vMerge w:val="continue"/>
            <w:tcBorders>
              <w:top w:val="nil"/>
            </w:tcBorders>
            <w:vAlign w:val="center"/>
          </w:tcPr>
          <w:p w14:paraId="19311E47">
            <w:pPr>
              <w:jc w:val="center"/>
              <w:rPr>
                <w:rFonts w:hint="default" w:ascii="宋体" w:hAnsi="宋体" w:eastAsia="宋体" w:cs="宋体"/>
                <w:color w:val="auto"/>
                <w:position w:val="1"/>
                <w:sz w:val="24"/>
                <w:szCs w:val="24"/>
                <w:highlight w:val="none"/>
                <w:lang w:val="zh-CN" w:eastAsia="zh-CN" w:bidi="zh-CN"/>
              </w:rPr>
            </w:pPr>
          </w:p>
        </w:tc>
        <w:tc>
          <w:tcPr>
            <w:tcW w:w="6060" w:type="dxa"/>
            <w:vAlign w:val="center"/>
          </w:tcPr>
          <w:p w14:paraId="677E93FD">
            <w:pPr>
              <w:pStyle w:val="305"/>
              <w:spacing w:before="124"/>
              <w:ind w:left="223" w:right="215"/>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生物中专-东辛农场职中校内 2</w:t>
            </w:r>
          </w:p>
        </w:tc>
        <w:tc>
          <w:tcPr>
            <w:tcW w:w="788" w:type="dxa"/>
            <w:vAlign w:val="center"/>
          </w:tcPr>
          <w:p w14:paraId="068268A9">
            <w:pPr>
              <w:pStyle w:val="305"/>
              <w:jc w:val="center"/>
              <w:rPr>
                <w:rFonts w:ascii="Times New Roman"/>
                <w:color w:val="auto"/>
                <w:sz w:val="24"/>
                <w:szCs w:val="24"/>
                <w:highlight w:val="none"/>
              </w:rPr>
            </w:pPr>
          </w:p>
        </w:tc>
      </w:tr>
      <w:tr w14:paraId="116D3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18721580">
            <w:pPr>
              <w:pStyle w:val="305"/>
              <w:spacing w:before="58"/>
              <w:ind w:left="43"/>
              <w:jc w:val="center"/>
              <w:rPr>
                <w:rFonts w:ascii="Times New Roman"/>
                <w:color w:val="auto"/>
                <w:sz w:val="24"/>
                <w:szCs w:val="24"/>
                <w:highlight w:val="none"/>
              </w:rPr>
            </w:pPr>
            <w:r>
              <w:rPr>
                <w:rFonts w:ascii="Times New Roman"/>
                <w:color w:val="auto"/>
                <w:w w:val="100"/>
                <w:sz w:val="24"/>
                <w:szCs w:val="24"/>
                <w:highlight w:val="none"/>
              </w:rPr>
              <w:t>3</w:t>
            </w:r>
          </w:p>
        </w:tc>
        <w:tc>
          <w:tcPr>
            <w:tcW w:w="1093" w:type="dxa"/>
            <w:vMerge w:val="continue"/>
            <w:tcBorders>
              <w:top w:val="nil"/>
            </w:tcBorders>
            <w:vAlign w:val="center"/>
          </w:tcPr>
          <w:p w14:paraId="6E3000F0">
            <w:pPr>
              <w:jc w:val="center"/>
              <w:rPr>
                <w:rFonts w:hint="default" w:ascii="宋体" w:hAnsi="宋体" w:eastAsia="宋体" w:cs="宋体"/>
                <w:color w:val="auto"/>
                <w:position w:val="1"/>
                <w:sz w:val="24"/>
                <w:szCs w:val="24"/>
                <w:highlight w:val="none"/>
                <w:lang w:val="zh-CN" w:eastAsia="zh-CN" w:bidi="zh-CN"/>
              </w:rPr>
            </w:pPr>
          </w:p>
        </w:tc>
        <w:tc>
          <w:tcPr>
            <w:tcW w:w="6060" w:type="dxa"/>
            <w:vAlign w:val="center"/>
          </w:tcPr>
          <w:p w14:paraId="30F17090">
            <w:pPr>
              <w:pStyle w:val="305"/>
              <w:spacing w:before="123"/>
              <w:ind w:left="223" w:right="215"/>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生物中专-东辛农场职中校内 3</w:t>
            </w:r>
          </w:p>
        </w:tc>
        <w:tc>
          <w:tcPr>
            <w:tcW w:w="788" w:type="dxa"/>
            <w:vAlign w:val="center"/>
          </w:tcPr>
          <w:p w14:paraId="4881F485">
            <w:pPr>
              <w:pStyle w:val="305"/>
              <w:jc w:val="center"/>
              <w:rPr>
                <w:rFonts w:ascii="Times New Roman"/>
                <w:color w:val="auto"/>
                <w:sz w:val="24"/>
                <w:szCs w:val="24"/>
                <w:highlight w:val="none"/>
              </w:rPr>
            </w:pPr>
          </w:p>
        </w:tc>
      </w:tr>
      <w:tr w14:paraId="72A00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3FB5563B">
            <w:pPr>
              <w:pStyle w:val="305"/>
              <w:spacing w:before="58"/>
              <w:ind w:left="43"/>
              <w:jc w:val="center"/>
              <w:rPr>
                <w:rFonts w:ascii="Times New Roman"/>
                <w:color w:val="auto"/>
                <w:sz w:val="24"/>
                <w:szCs w:val="24"/>
                <w:highlight w:val="none"/>
              </w:rPr>
            </w:pPr>
            <w:r>
              <w:rPr>
                <w:rFonts w:ascii="Times New Roman"/>
                <w:color w:val="auto"/>
                <w:w w:val="100"/>
                <w:sz w:val="24"/>
                <w:szCs w:val="24"/>
                <w:highlight w:val="none"/>
              </w:rPr>
              <w:t>4</w:t>
            </w:r>
          </w:p>
        </w:tc>
        <w:tc>
          <w:tcPr>
            <w:tcW w:w="1093" w:type="dxa"/>
            <w:vMerge w:val="continue"/>
            <w:tcBorders>
              <w:top w:val="nil"/>
            </w:tcBorders>
            <w:vAlign w:val="center"/>
          </w:tcPr>
          <w:p w14:paraId="203B97B4">
            <w:pPr>
              <w:jc w:val="center"/>
              <w:rPr>
                <w:color w:val="auto"/>
                <w:sz w:val="24"/>
                <w:szCs w:val="24"/>
                <w:highlight w:val="none"/>
              </w:rPr>
            </w:pPr>
          </w:p>
        </w:tc>
        <w:tc>
          <w:tcPr>
            <w:tcW w:w="6060" w:type="dxa"/>
            <w:vAlign w:val="center"/>
          </w:tcPr>
          <w:p w14:paraId="486A2A5C">
            <w:pPr>
              <w:pStyle w:val="305"/>
              <w:spacing w:before="123"/>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东辛农场职中校内 </w:t>
            </w:r>
            <w:r>
              <w:rPr>
                <w:rFonts w:ascii="Times New Roman" w:eastAsia="Times New Roman"/>
                <w:color w:val="auto"/>
                <w:sz w:val="24"/>
                <w:szCs w:val="24"/>
                <w:highlight w:val="none"/>
              </w:rPr>
              <w:t>4</w:t>
            </w:r>
          </w:p>
        </w:tc>
        <w:tc>
          <w:tcPr>
            <w:tcW w:w="788" w:type="dxa"/>
            <w:vAlign w:val="center"/>
          </w:tcPr>
          <w:p w14:paraId="5DA269DF">
            <w:pPr>
              <w:pStyle w:val="305"/>
              <w:jc w:val="center"/>
              <w:rPr>
                <w:rFonts w:ascii="Times New Roman"/>
                <w:color w:val="auto"/>
                <w:sz w:val="24"/>
                <w:szCs w:val="24"/>
                <w:highlight w:val="none"/>
              </w:rPr>
            </w:pPr>
          </w:p>
        </w:tc>
      </w:tr>
      <w:tr w14:paraId="0CD1A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7B658C2D">
            <w:pPr>
              <w:pStyle w:val="305"/>
              <w:spacing w:before="122"/>
              <w:ind w:left="223" w:right="213"/>
              <w:jc w:val="center"/>
              <w:rPr>
                <w:color w:val="auto"/>
                <w:position w:val="1"/>
                <w:sz w:val="24"/>
                <w:szCs w:val="24"/>
                <w:highlight w:val="none"/>
              </w:rPr>
            </w:pPr>
            <w:r>
              <w:rPr>
                <w:color w:val="auto"/>
                <w:position w:val="1"/>
                <w:sz w:val="24"/>
                <w:szCs w:val="24"/>
                <w:highlight w:val="none"/>
              </w:rPr>
              <w:t>5</w:t>
            </w:r>
          </w:p>
        </w:tc>
        <w:tc>
          <w:tcPr>
            <w:tcW w:w="1093" w:type="dxa"/>
            <w:vMerge w:val="restart"/>
            <w:vAlign w:val="center"/>
          </w:tcPr>
          <w:p w14:paraId="472E3020">
            <w:pPr>
              <w:pStyle w:val="305"/>
              <w:spacing w:before="122"/>
              <w:ind w:left="223" w:right="213"/>
              <w:jc w:val="center"/>
              <w:rPr>
                <w:color w:val="auto"/>
                <w:position w:val="1"/>
                <w:sz w:val="24"/>
                <w:szCs w:val="24"/>
                <w:highlight w:val="none"/>
              </w:rPr>
            </w:pPr>
          </w:p>
          <w:p w14:paraId="339C5F23">
            <w:pPr>
              <w:pStyle w:val="305"/>
              <w:spacing w:before="122"/>
              <w:ind w:left="223" w:right="213"/>
              <w:jc w:val="center"/>
              <w:rPr>
                <w:color w:val="auto"/>
                <w:position w:val="1"/>
                <w:sz w:val="24"/>
                <w:szCs w:val="24"/>
                <w:highlight w:val="none"/>
              </w:rPr>
            </w:pPr>
          </w:p>
          <w:p w14:paraId="0E51E41A">
            <w:pPr>
              <w:pStyle w:val="305"/>
              <w:spacing w:before="122"/>
              <w:ind w:left="223" w:right="213"/>
              <w:jc w:val="center"/>
              <w:rPr>
                <w:color w:val="auto"/>
                <w:position w:val="1"/>
                <w:sz w:val="24"/>
                <w:szCs w:val="24"/>
                <w:highlight w:val="none"/>
              </w:rPr>
            </w:pPr>
          </w:p>
          <w:p w14:paraId="64EB251E">
            <w:pPr>
              <w:pStyle w:val="305"/>
              <w:spacing w:before="122"/>
              <w:ind w:left="223" w:right="213"/>
              <w:jc w:val="center"/>
              <w:rPr>
                <w:color w:val="auto"/>
                <w:position w:val="1"/>
                <w:sz w:val="24"/>
                <w:szCs w:val="24"/>
                <w:highlight w:val="none"/>
              </w:rPr>
            </w:pPr>
          </w:p>
          <w:p w14:paraId="647BA9FD">
            <w:pPr>
              <w:pStyle w:val="305"/>
              <w:spacing w:before="122"/>
              <w:ind w:left="223" w:right="213"/>
              <w:jc w:val="center"/>
              <w:rPr>
                <w:color w:val="auto"/>
                <w:position w:val="1"/>
                <w:sz w:val="24"/>
                <w:szCs w:val="24"/>
                <w:highlight w:val="none"/>
              </w:rPr>
            </w:pPr>
          </w:p>
          <w:p w14:paraId="49321596">
            <w:pPr>
              <w:pStyle w:val="305"/>
              <w:spacing w:before="122"/>
              <w:ind w:left="223" w:right="213"/>
              <w:jc w:val="center"/>
              <w:rPr>
                <w:color w:val="auto"/>
                <w:position w:val="1"/>
                <w:sz w:val="24"/>
                <w:szCs w:val="24"/>
                <w:highlight w:val="none"/>
              </w:rPr>
            </w:pPr>
          </w:p>
          <w:p w14:paraId="5ABE5FBD">
            <w:pPr>
              <w:pStyle w:val="305"/>
              <w:spacing w:before="122"/>
              <w:ind w:left="223" w:right="213"/>
              <w:jc w:val="center"/>
              <w:rPr>
                <w:rFonts w:hint="eastAsia"/>
                <w:color w:val="auto"/>
                <w:position w:val="1"/>
                <w:sz w:val="24"/>
                <w:szCs w:val="24"/>
                <w:highlight w:val="none"/>
              </w:rPr>
            </w:pPr>
            <w:r>
              <w:rPr>
                <w:rFonts w:hint="eastAsia"/>
                <w:color w:val="auto"/>
                <w:position w:val="1"/>
                <w:sz w:val="24"/>
                <w:szCs w:val="24"/>
                <w:highlight w:val="none"/>
              </w:rPr>
              <w:t>学校至市区</w:t>
            </w:r>
          </w:p>
        </w:tc>
        <w:tc>
          <w:tcPr>
            <w:tcW w:w="6060" w:type="dxa"/>
            <w:vAlign w:val="center"/>
          </w:tcPr>
          <w:p w14:paraId="6B053C95">
            <w:pPr>
              <w:pStyle w:val="305"/>
              <w:spacing w:before="123"/>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新浦邮电大楼（汽车总站）</w:t>
            </w:r>
            <w:r>
              <w:rPr>
                <w:rFonts w:ascii="Times New Roman" w:eastAsia="Times New Roman"/>
                <w:color w:val="auto"/>
                <w:sz w:val="24"/>
                <w:szCs w:val="24"/>
                <w:highlight w:val="none"/>
              </w:rPr>
              <w:t>1</w:t>
            </w:r>
          </w:p>
        </w:tc>
        <w:tc>
          <w:tcPr>
            <w:tcW w:w="788" w:type="dxa"/>
            <w:vAlign w:val="center"/>
          </w:tcPr>
          <w:p w14:paraId="448BB387">
            <w:pPr>
              <w:pStyle w:val="305"/>
              <w:jc w:val="center"/>
              <w:rPr>
                <w:rFonts w:ascii="Times New Roman"/>
                <w:color w:val="auto"/>
                <w:sz w:val="24"/>
                <w:szCs w:val="24"/>
                <w:highlight w:val="none"/>
              </w:rPr>
            </w:pPr>
          </w:p>
        </w:tc>
      </w:tr>
      <w:tr w14:paraId="41C4C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26450E47">
            <w:pPr>
              <w:pStyle w:val="305"/>
              <w:spacing w:before="122"/>
              <w:ind w:left="223" w:right="213"/>
              <w:jc w:val="center"/>
              <w:rPr>
                <w:color w:val="auto"/>
                <w:position w:val="1"/>
                <w:sz w:val="24"/>
                <w:szCs w:val="24"/>
                <w:highlight w:val="none"/>
              </w:rPr>
            </w:pPr>
            <w:r>
              <w:rPr>
                <w:color w:val="auto"/>
                <w:position w:val="1"/>
                <w:sz w:val="24"/>
                <w:szCs w:val="24"/>
                <w:highlight w:val="none"/>
              </w:rPr>
              <w:t>6</w:t>
            </w:r>
          </w:p>
        </w:tc>
        <w:tc>
          <w:tcPr>
            <w:tcW w:w="1093" w:type="dxa"/>
            <w:vMerge w:val="continue"/>
            <w:vAlign w:val="center"/>
          </w:tcPr>
          <w:p w14:paraId="201B4885">
            <w:pPr>
              <w:pStyle w:val="305"/>
              <w:spacing w:before="122"/>
              <w:ind w:left="223" w:right="213"/>
              <w:jc w:val="center"/>
              <w:rPr>
                <w:color w:val="auto"/>
                <w:position w:val="1"/>
                <w:sz w:val="24"/>
                <w:szCs w:val="24"/>
                <w:highlight w:val="none"/>
              </w:rPr>
            </w:pPr>
          </w:p>
        </w:tc>
        <w:tc>
          <w:tcPr>
            <w:tcW w:w="6060" w:type="dxa"/>
            <w:vAlign w:val="center"/>
          </w:tcPr>
          <w:p w14:paraId="50614C5C">
            <w:pPr>
              <w:pStyle w:val="305"/>
              <w:spacing w:before="122"/>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新浦邮电大楼（汽车总站）</w:t>
            </w:r>
            <w:r>
              <w:rPr>
                <w:rFonts w:ascii="Times New Roman" w:eastAsia="Times New Roman"/>
                <w:color w:val="auto"/>
                <w:sz w:val="24"/>
                <w:szCs w:val="24"/>
                <w:highlight w:val="none"/>
              </w:rPr>
              <w:t>2</w:t>
            </w:r>
          </w:p>
        </w:tc>
        <w:tc>
          <w:tcPr>
            <w:tcW w:w="788" w:type="dxa"/>
            <w:vAlign w:val="center"/>
          </w:tcPr>
          <w:p w14:paraId="50CB739A">
            <w:pPr>
              <w:pStyle w:val="305"/>
              <w:jc w:val="center"/>
              <w:rPr>
                <w:rFonts w:ascii="Times New Roman"/>
                <w:color w:val="auto"/>
                <w:sz w:val="24"/>
                <w:szCs w:val="24"/>
                <w:highlight w:val="none"/>
              </w:rPr>
            </w:pPr>
          </w:p>
        </w:tc>
      </w:tr>
      <w:tr w14:paraId="7C26F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42167C93">
            <w:pPr>
              <w:pStyle w:val="305"/>
              <w:spacing w:before="59"/>
              <w:ind w:left="43"/>
              <w:jc w:val="center"/>
              <w:rPr>
                <w:rFonts w:ascii="Times New Roman"/>
                <w:color w:val="auto"/>
                <w:sz w:val="24"/>
                <w:szCs w:val="24"/>
                <w:highlight w:val="none"/>
              </w:rPr>
            </w:pPr>
            <w:r>
              <w:rPr>
                <w:rFonts w:ascii="Times New Roman"/>
                <w:color w:val="auto"/>
                <w:w w:val="100"/>
                <w:sz w:val="24"/>
                <w:szCs w:val="24"/>
                <w:highlight w:val="none"/>
              </w:rPr>
              <w:t>7</w:t>
            </w:r>
          </w:p>
        </w:tc>
        <w:tc>
          <w:tcPr>
            <w:tcW w:w="1093" w:type="dxa"/>
            <w:vMerge w:val="continue"/>
            <w:vAlign w:val="center"/>
          </w:tcPr>
          <w:p w14:paraId="18E0E9AE">
            <w:pPr>
              <w:jc w:val="center"/>
              <w:rPr>
                <w:color w:val="auto"/>
                <w:sz w:val="24"/>
                <w:szCs w:val="24"/>
                <w:highlight w:val="none"/>
              </w:rPr>
            </w:pPr>
          </w:p>
        </w:tc>
        <w:tc>
          <w:tcPr>
            <w:tcW w:w="6060" w:type="dxa"/>
            <w:vAlign w:val="center"/>
          </w:tcPr>
          <w:p w14:paraId="4CF1672F">
            <w:pPr>
              <w:pStyle w:val="305"/>
              <w:spacing w:before="122"/>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新浦陇河客运站 </w:t>
            </w:r>
            <w:r>
              <w:rPr>
                <w:rFonts w:ascii="Times New Roman" w:eastAsia="Times New Roman"/>
                <w:color w:val="auto"/>
                <w:sz w:val="24"/>
                <w:szCs w:val="24"/>
                <w:highlight w:val="none"/>
              </w:rPr>
              <w:t>1</w:t>
            </w:r>
          </w:p>
        </w:tc>
        <w:tc>
          <w:tcPr>
            <w:tcW w:w="788" w:type="dxa"/>
            <w:vAlign w:val="center"/>
          </w:tcPr>
          <w:p w14:paraId="020F641B">
            <w:pPr>
              <w:pStyle w:val="305"/>
              <w:jc w:val="center"/>
              <w:rPr>
                <w:rFonts w:ascii="Times New Roman"/>
                <w:color w:val="auto"/>
                <w:sz w:val="24"/>
                <w:szCs w:val="24"/>
                <w:highlight w:val="none"/>
              </w:rPr>
            </w:pPr>
          </w:p>
        </w:tc>
      </w:tr>
      <w:tr w14:paraId="111AC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07458576">
            <w:pPr>
              <w:pStyle w:val="305"/>
              <w:spacing w:before="59"/>
              <w:ind w:left="43"/>
              <w:jc w:val="center"/>
              <w:rPr>
                <w:rFonts w:ascii="Times New Roman"/>
                <w:color w:val="auto"/>
                <w:sz w:val="24"/>
                <w:szCs w:val="24"/>
                <w:highlight w:val="none"/>
              </w:rPr>
            </w:pPr>
            <w:r>
              <w:rPr>
                <w:rFonts w:ascii="Times New Roman"/>
                <w:color w:val="auto"/>
                <w:w w:val="100"/>
                <w:sz w:val="24"/>
                <w:szCs w:val="24"/>
                <w:highlight w:val="none"/>
              </w:rPr>
              <w:t>8</w:t>
            </w:r>
          </w:p>
        </w:tc>
        <w:tc>
          <w:tcPr>
            <w:tcW w:w="1093" w:type="dxa"/>
            <w:vMerge w:val="continue"/>
            <w:vAlign w:val="center"/>
          </w:tcPr>
          <w:p w14:paraId="2BAE17EA">
            <w:pPr>
              <w:jc w:val="center"/>
              <w:rPr>
                <w:color w:val="auto"/>
                <w:sz w:val="24"/>
                <w:szCs w:val="24"/>
                <w:highlight w:val="none"/>
              </w:rPr>
            </w:pPr>
          </w:p>
        </w:tc>
        <w:tc>
          <w:tcPr>
            <w:tcW w:w="6060" w:type="dxa"/>
            <w:vAlign w:val="center"/>
          </w:tcPr>
          <w:p w14:paraId="60D935DB">
            <w:pPr>
              <w:pStyle w:val="305"/>
              <w:spacing w:before="124"/>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新浦陇河客运站 </w:t>
            </w:r>
            <w:r>
              <w:rPr>
                <w:rFonts w:ascii="Times New Roman" w:eastAsia="Times New Roman"/>
                <w:color w:val="auto"/>
                <w:sz w:val="24"/>
                <w:szCs w:val="24"/>
                <w:highlight w:val="none"/>
              </w:rPr>
              <w:t>2</w:t>
            </w:r>
          </w:p>
        </w:tc>
        <w:tc>
          <w:tcPr>
            <w:tcW w:w="788" w:type="dxa"/>
            <w:vAlign w:val="center"/>
          </w:tcPr>
          <w:p w14:paraId="780C4758">
            <w:pPr>
              <w:pStyle w:val="305"/>
              <w:jc w:val="center"/>
              <w:rPr>
                <w:rFonts w:ascii="Times New Roman"/>
                <w:color w:val="auto"/>
                <w:sz w:val="24"/>
                <w:szCs w:val="24"/>
                <w:highlight w:val="none"/>
              </w:rPr>
            </w:pPr>
          </w:p>
        </w:tc>
      </w:tr>
      <w:tr w14:paraId="0011B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24556E74">
            <w:pPr>
              <w:pStyle w:val="305"/>
              <w:spacing w:before="58"/>
              <w:ind w:left="43"/>
              <w:jc w:val="center"/>
              <w:rPr>
                <w:rFonts w:ascii="Times New Roman"/>
                <w:color w:val="auto"/>
                <w:sz w:val="24"/>
                <w:szCs w:val="24"/>
                <w:highlight w:val="none"/>
              </w:rPr>
            </w:pPr>
            <w:r>
              <w:rPr>
                <w:rFonts w:ascii="Times New Roman"/>
                <w:color w:val="auto"/>
                <w:w w:val="100"/>
                <w:sz w:val="24"/>
                <w:szCs w:val="24"/>
                <w:highlight w:val="none"/>
              </w:rPr>
              <w:t>9</w:t>
            </w:r>
          </w:p>
        </w:tc>
        <w:tc>
          <w:tcPr>
            <w:tcW w:w="1093" w:type="dxa"/>
            <w:vMerge w:val="continue"/>
            <w:vAlign w:val="center"/>
          </w:tcPr>
          <w:p w14:paraId="37F84234">
            <w:pPr>
              <w:jc w:val="center"/>
              <w:rPr>
                <w:color w:val="auto"/>
                <w:sz w:val="24"/>
                <w:szCs w:val="24"/>
                <w:highlight w:val="none"/>
              </w:rPr>
            </w:pPr>
          </w:p>
        </w:tc>
        <w:tc>
          <w:tcPr>
            <w:tcW w:w="6060" w:type="dxa"/>
            <w:vAlign w:val="center"/>
          </w:tcPr>
          <w:p w14:paraId="4F71B28F">
            <w:pPr>
              <w:pStyle w:val="305"/>
              <w:spacing w:before="123"/>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新浦陇河客运站 </w:t>
            </w:r>
            <w:r>
              <w:rPr>
                <w:rFonts w:ascii="Times New Roman" w:eastAsia="Times New Roman"/>
                <w:color w:val="auto"/>
                <w:sz w:val="24"/>
                <w:szCs w:val="24"/>
                <w:highlight w:val="none"/>
              </w:rPr>
              <w:t>3</w:t>
            </w:r>
          </w:p>
        </w:tc>
        <w:tc>
          <w:tcPr>
            <w:tcW w:w="788" w:type="dxa"/>
            <w:vAlign w:val="center"/>
          </w:tcPr>
          <w:p w14:paraId="6CE1A1A8">
            <w:pPr>
              <w:pStyle w:val="305"/>
              <w:jc w:val="center"/>
              <w:rPr>
                <w:rFonts w:ascii="Times New Roman"/>
                <w:color w:val="auto"/>
                <w:sz w:val="24"/>
                <w:szCs w:val="24"/>
                <w:highlight w:val="none"/>
              </w:rPr>
            </w:pPr>
          </w:p>
        </w:tc>
      </w:tr>
      <w:tr w14:paraId="15C0A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691D56FE">
            <w:pPr>
              <w:pStyle w:val="305"/>
              <w:spacing w:before="58"/>
              <w:ind w:left="90" w:right="47"/>
              <w:jc w:val="center"/>
              <w:rPr>
                <w:rFonts w:ascii="Times New Roman"/>
                <w:color w:val="auto"/>
                <w:sz w:val="24"/>
                <w:szCs w:val="24"/>
                <w:highlight w:val="none"/>
              </w:rPr>
            </w:pPr>
            <w:r>
              <w:rPr>
                <w:rFonts w:ascii="Times New Roman"/>
                <w:color w:val="auto"/>
                <w:sz w:val="24"/>
                <w:szCs w:val="24"/>
                <w:highlight w:val="none"/>
              </w:rPr>
              <w:t>10</w:t>
            </w:r>
          </w:p>
        </w:tc>
        <w:tc>
          <w:tcPr>
            <w:tcW w:w="1093" w:type="dxa"/>
            <w:vMerge w:val="continue"/>
            <w:vAlign w:val="center"/>
          </w:tcPr>
          <w:p w14:paraId="75D6EF59">
            <w:pPr>
              <w:jc w:val="center"/>
              <w:rPr>
                <w:color w:val="auto"/>
                <w:sz w:val="24"/>
                <w:szCs w:val="24"/>
                <w:highlight w:val="none"/>
              </w:rPr>
            </w:pPr>
          </w:p>
        </w:tc>
        <w:tc>
          <w:tcPr>
            <w:tcW w:w="6060" w:type="dxa"/>
            <w:vAlign w:val="center"/>
          </w:tcPr>
          <w:p w14:paraId="2EFC4600">
            <w:pPr>
              <w:pStyle w:val="305"/>
              <w:spacing w:before="123"/>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新浦陇河客运站 </w:t>
            </w:r>
            <w:r>
              <w:rPr>
                <w:rFonts w:ascii="Times New Roman" w:eastAsia="Times New Roman"/>
                <w:color w:val="auto"/>
                <w:sz w:val="24"/>
                <w:szCs w:val="24"/>
                <w:highlight w:val="none"/>
              </w:rPr>
              <w:t>4</w:t>
            </w:r>
          </w:p>
        </w:tc>
        <w:tc>
          <w:tcPr>
            <w:tcW w:w="788" w:type="dxa"/>
            <w:vAlign w:val="center"/>
          </w:tcPr>
          <w:p w14:paraId="2D38B954">
            <w:pPr>
              <w:pStyle w:val="305"/>
              <w:jc w:val="center"/>
              <w:rPr>
                <w:rFonts w:ascii="Times New Roman"/>
                <w:color w:val="auto"/>
                <w:sz w:val="24"/>
                <w:szCs w:val="24"/>
                <w:highlight w:val="none"/>
              </w:rPr>
            </w:pPr>
          </w:p>
        </w:tc>
      </w:tr>
      <w:tr w14:paraId="47C4E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591AD228">
            <w:pPr>
              <w:pStyle w:val="305"/>
              <w:spacing w:before="57"/>
              <w:ind w:left="90" w:right="47"/>
              <w:jc w:val="center"/>
              <w:rPr>
                <w:rFonts w:ascii="Times New Roman"/>
                <w:color w:val="auto"/>
                <w:sz w:val="24"/>
                <w:szCs w:val="24"/>
                <w:highlight w:val="none"/>
              </w:rPr>
            </w:pPr>
            <w:r>
              <w:rPr>
                <w:rFonts w:ascii="Times New Roman"/>
                <w:color w:val="auto"/>
                <w:sz w:val="24"/>
                <w:szCs w:val="24"/>
                <w:highlight w:val="none"/>
              </w:rPr>
              <w:t>11</w:t>
            </w:r>
          </w:p>
        </w:tc>
        <w:tc>
          <w:tcPr>
            <w:tcW w:w="1093" w:type="dxa"/>
            <w:vMerge w:val="continue"/>
            <w:vAlign w:val="center"/>
          </w:tcPr>
          <w:p w14:paraId="4D19F83F">
            <w:pPr>
              <w:jc w:val="center"/>
              <w:rPr>
                <w:color w:val="auto"/>
                <w:sz w:val="24"/>
                <w:szCs w:val="24"/>
                <w:highlight w:val="none"/>
              </w:rPr>
            </w:pPr>
          </w:p>
        </w:tc>
        <w:tc>
          <w:tcPr>
            <w:tcW w:w="6060" w:type="dxa"/>
            <w:vAlign w:val="center"/>
          </w:tcPr>
          <w:p w14:paraId="1F0CF77E">
            <w:pPr>
              <w:pStyle w:val="305"/>
              <w:spacing w:before="122"/>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云台中学</w:t>
            </w:r>
            <w:r>
              <w:rPr>
                <w:rFonts w:ascii="Times New Roman" w:eastAsia="Times New Roman"/>
                <w:color w:val="auto"/>
                <w:sz w:val="24"/>
                <w:szCs w:val="24"/>
                <w:highlight w:val="none"/>
              </w:rPr>
              <w:t>-</w:t>
            </w:r>
            <w:r>
              <w:rPr>
                <w:color w:val="auto"/>
                <w:position w:val="1"/>
                <w:sz w:val="24"/>
                <w:szCs w:val="24"/>
                <w:highlight w:val="none"/>
              </w:rPr>
              <w:t>云台农场</w:t>
            </w:r>
            <w:r>
              <w:rPr>
                <w:rFonts w:ascii="Times New Roman" w:eastAsia="Times New Roman"/>
                <w:color w:val="auto"/>
                <w:sz w:val="24"/>
                <w:szCs w:val="24"/>
                <w:highlight w:val="none"/>
              </w:rPr>
              <w:t>+</w:t>
            </w:r>
            <w:r>
              <w:rPr>
                <w:color w:val="auto"/>
                <w:position w:val="1"/>
                <w:sz w:val="24"/>
                <w:szCs w:val="24"/>
                <w:highlight w:val="none"/>
              </w:rPr>
              <w:t xml:space="preserve">丹霞 </w:t>
            </w:r>
            <w:r>
              <w:rPr>
                <w:rFonts w:ascii="Times New Roman" w:eastAsia="Times New Roman"/>
                <w:color w:val="auto"/>
                <w:sz w:val="24"/>
                <w:szCs w:val="24"/>
                <w:highlight w:val="none"/>
              </w:rPr>
              <w:t>1</w:t>
            </w:r>
          </w:p>
        </w:tc>
        <w:tc>
          <w:tcPr>
            <w:tcW w:w="788" w:type="dxa"/>
            <w:vAlign w:val="center"/>
          </w:tcPr>
          <w:p w14:paraId="29088A11">
            <w:pPr>
              <w:pStyle w:val="305"/>
              <w:jc w:val="center"/>
              <w:rPr>
                <w:rFonts w:ascii="Times New Roman"/>
                <w:color w:val="auto"/>
                <w:sz w:val="24"/>
                <w:szCs w:val="24"/>
                <w:highlight w:val="none"/>
              </w:rPr>
            </w:pPr>
          </w:p>
        </w:tc>
      </w:tr>
      <w:tr w14:paraId="2BA2B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2A0046B2">
            <w:pPr>
              <w:pStyle w:val="305"/>
              <w:spacing w:before="59"/>
              <w:ind w:left="90" w:right="47"/>
              <w:jc w:val="center"/>
              <w:rPr>
                <w:rFonts w:ascii="Times New Roman"/>
                <w:color w:val="auto"/>
                <w:sz w:val="24"/>
                <w:szCs w:val="24"/>
                <w:highlight w:val="none"/>
              </w:rPr>
            </w:pPr>
            <w:r>
              <w:rPr>
                <w:rFonts w:ascii="Times New Roman"/>
                <w:color w:val="auto"/>
                <w:sz w:val="24"/>
                <w:szCs w:val="24"/>
                <w:highlight w:val="none"/>
              </w:rPr>
              <w:t>12</w:t>
            </w:r>
          </w:p>
        </w:tc>
        <w:tc>
          <w:tcPr>
            <w:tcW w:w="1093" w:type="dxa"/>
            <w:vMerge w:val="continue"/>
            <w:vAlign w:val="center"/>
          </w:tcPr>
          <w:p w14:paraId="2E63B3FB">
            <w:pPr>
              <w:jc w:val="center"/>
              <w:rPr>
                <w:color w:val="auto"/>
                <w:sz w:val="24"/>
                <w:szCs w:val="24"/>
                <w:highlight w:val="none"/>
              </w:rPr>
            </w:pPr>
          </w:p>
        </w:tc>
        <w:tc>
          <w:tcPr>
            <w:tcW w:w="6060" w:type="dxa"/>
            <w:vAlign w:val="center"/>
          </w:tcPr>
          <w:p w14:paraId="47A5BED8">
            <w:pPr>
              <w:pStyle w:val="305"/>
              <w:spacing w:before="122"/>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云台中学</w:t>
            </w:r>
            <w:r>
              <w:rPr>
                <w:rFonts w:ascii="Times New Roman" w:eastAsia="Times New Roman"/>
                <w:color w:val="auto"/>
                <w:sz w:val="24"/>
                <w:szCs w:val="24"/>
                <w:highlight w:val="none"/>
              </w:rPr>
              <w:t>-</w:t>
            </w:r>
            <w:r>
              <w:rPr>
                <w:color w:val="auto"/>
                <w:position w:val="1"/>
                <w:sz w:val="24"/>
                <w:szCs w:val="24"/>
                <w:highlight w:val="none"/>
              </w:rPr>
              <w:t>云台农场</w:t>
            </w:r>
            <w:r>
              <w:rPr>
                <w:rFonts w:ascii="Times New Roman" w:eastAsia="Times New Roman"/>
                <w:color w:val="auto"/>
                <w:sz w:val="24"/>
                <w:szCs w:val="24"/>
                <w:highlight w:val="none"/>
              </w:rPr>
              <w:t>+</w:t>
            </w:r>
            <w:r>
              <w:rPr>
                <w:color w:val="auto"/>
                <w:position w:val="1"/>
                <w:sz w:val="24"/>
                <w:szCs w:val="24"/>
                <w:highlight w:val="none"/>
              </w:rPr>
              <w:t xml:space="preserve">丹霞 </w:t>
            </w:r>
            <w:r>
              <w:rPr>
                <w:rFonts w:ascii="Times New Roman" w:eastAsia="Times New Roman"/>
                <w:color w:val="auto"/>
                <w:sz w:val="24"/>
                <w:szCs w:val="24"/>
                <w:highlight w:val="none"/>
              </w:rPr>
              <w:t>2</w:t>
            </w:r>
          </w:p>
        </w:tc>
        <w:tc>
          <w:tcPr>
            <w:tcW w:w="788" w:type="dxa"/>
            <w:vAlign w:val="center"/>
          </w:tcPr>
          <w:p w14:paraId="409FE9D5">
            <w:pPr>
              <w:pStyle w:val="305"/>
              <w:jc w:val="center"/>
              <w:rPr>
                <w:rFonts w:ascii="Times New Roman"/>
                <w:color w:val="auto"/>
                <w:sz w:val="24"/>
                <w:szCs w:val="24"/>
                <w:highlight w:val="none"/>
              </w:rPr>
            </w:pPr>
          </w:p>
        </w:tc>
      </w:tr>
      <w:tr w14:paraId="00FA6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61882B8A">
            <w:pPr>
              <w:pStyle w:val="305"/>
              <w:spacing w:before="59"/>
              <w:ind w:left="90" w:right="47"/>
              <w:jc w:val="center"/>
              <w:rPr>
                <w:rFonts w:ascii="Times New Roman"/>
                <w:color w:val="auto"/>
                <w:sz w:val="24"/>
                <w:szCs w:val="24"/>
                <w:highlight w:val="none"/>
              </w:rPr>
            </w:pPr>
            <w:r>
              <w:rPr>
                <w:rFonts w:ascii="Times New Roman"/>
                <w:color w:val="auto"/>
                <w:sz w:val="24"/>
                <w:szCs w:val="24"/>
                <w:highlight w:val="none"/>
              </w:rPr>
              <w:t>13</w:t>
            </w:r>
          </w:p>
        </w:tc>
        <w:tc>
          <w:tcPr>
            <w:tcW w:w="1093" w:type="dxa"/>
            <w:vMerge w:val="continue"/>
            <w:vAlign w:val="center"/>
          </w:tcPr>
          <w:p w14:paraId="2FCB9106">
            <w:pPr>
              <w:jc w:val="center"/>
              <w:rPr>
                <w:color w:val="auto"/>
                <w:sz w:val="24"/>
                <w:szCs w:val="24"/>
                <w:highlight w:val="none"/>
              </w:rPr>
            </w:pPr>
          </w:p>
        </w:tc>
        <w:tc>
          <w:tcPr>
            <w:tcW w:w="6060" w:type="dxa"/>
            <w:vAlign w:val="center"/>
          </w:tcPr>
          <w:p w14:paraId="7A9D8EE8">
            <w:pPr>
              <w:pStyle w:val="305"/>
              <w:spacing w:before="122"/>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 xml:space="preserve">海州客运站 </w:t>
            </w:r>
            <w:r>
              <w:rPr>
                <w:rFonts w:ascii="Times New Roman" w:eastAsia="Times New Roman"/>
                <w:color w:val="auto"/>
                <w:sz w:val="24"/>
                <w:szCs w:val="24"/>
                <w:highlight w:val="none"/>
              </w:rPr>
              <w:t>1</w:t>
            </w:r>
          </w:p>
        </w:tc>
        <w:tc>
          <w:tcPr>
            <w:tcW w:w="788" w:type="dxa"/>
            <w:vAlign w:val="center"/>
          </w:tcPr>
          <w:p w14:paraId="6BEE4755">
            <w:pPr>
              <w:pStyle w:val="305"/>
              <w:jc w:val="center"/>
              <w:rPr>
                <w:rFonts w:ascii="Times New Roman"/>
                <w:color w:val="auto"/>
                <w:sz w:val="24"/>
                <w:szCs w:val="24"/>
                <w:highlight w:val="none"/>
              </w:rPr>
            </w:pPr>
          </w:p>
        </w:tc>
      </w:tr>
      <w:tr w14:paraId="63C3A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16B91D1D">
            <w:pPr>
              <w:pStyle w:val="305"/>
              <w:spacing w:before="59"/>
              <w:ind w:left="90" w:right="47"/>
              <w:jc w:val="center"/>
              <w:rPr>
                <w:rFonts w:ascii="Times New Roman"/>
                <w:color w:val="auto"/>
                <w:sz w:val="24"/>
                <w:szCs w:val="24"/>
                <w:highlight w:val="none"/>
              </w:rPr>
            </w:pPr>
            <w:r>
              <w:rPr>
                <w:rFonts w:ascii="Times New Roman"/>
                <w:color w:val="auto"/>
                <w:sz w:val="24"/>
                <w:szCs w:val="24"/>
                <w:highlight w:val="none"/>
              </w:rPr>
              <w:t>14</w:t>
            </w:r>
          </w:p>
        </w:tc>
        <w:tc>
          <w:tcPr>
            <w:tcW w:w="1093" w:type="dxa"/>
            <w:vMerge w:val="continue"/>
            <w:vAlign w:val="center"/>
          </w:tcPr>
          <w:p w14:paraId="5E17572B">
            <w:pPr>
              <w:jc w:val="center"/>
              <w:rPr>
                <w:color w:val="auto"/>
                <w:sz w:val="24"/>
                <w:szCs w:val="24"/>
                <w:highlight w:val="none"/>
              </w:rPr>
            </w:pPr>
          </w:p>
        </w:tc>
        <w:tc>
          <w:tcPr>
            <w:tcW w:w="6060" w:type="dxa"/>
            <w:vAlign w:val="center"/>
          </w:tcPr>
          <w:p w14:paraId="09EAB674">
            <w:pPr>
              <w:pStyle w:val="305"/>
              <w:spacing w:before="124"/>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板浦</w:t>
            </w:r>
            <w:r>
              <w:rPr>
                <w:rFonts w:ascii="Times New Roman" w:eastAsia="Times New Roman"/>
                <w:color w:val="auto"/>
                <w:sz w:val="24"/>
                <w:szCs w:val="24"/>
                <w:highlight w:val="none"/>
              </w:rPr>
              <w:t>(</w:t>
            </w:r>
            <w:r>
              <w:rPr>
                <w:color w:val="auto"/>
                <w:position w:val="1"/>
                <w:sz w:val="24"/>
                <w:szCs w:val="24"/>
                <w:highlight w:val="none"/>
              </w:rPr>
              <w:t>板浦镇政府</w:t>
            </w:r>
            <w:r>
              <w:rPr>
                <w:rFonts w:ascii="Times New Roman" w:eastAsia="Times New Roman"/>
                <w:color w:val="auto"/>
                <w:sz w:val="24"/>
                <w:szCs w:val="24"/>
                <w:highlight w:val="none"/>
              </w:rPr>
              <w:t>)-</w:t>
            </w:r>
            <w:r>
              <w:rPr>
                <w:color w:val="auto"/>
                <w:position w:val="1"/>
                <w:sz w:val="24"/>
                <w:szCs w:val="24"/>
                <w:highlight w:val="none"/>
              </w:rPr>
              <w:t xml:space="preserve">宁海 </w:t>
            </w:r>
            <w:r>
              <w:rPr>
                <w:rFonts w:ascii="Times New Roman" w:eastAsia="Times New Roman"/>
                <w:color w:val="auto"/>
                <w:sz w:val="24"/>
                <w:szCs w:val="24"/>
                <w:highlight w:val="none"/>
              </w:rPr>
              <w:t>1</w:t>
            </w:r>
          </w:p>
        </w:tc>
        <w:tc>
          <w:tcPr>
            <w:tcW w:w="788" w:type="dxa"/>
            <w:vAlign w:val="center"/>
          </w:tcPr>
          <w:p w14:paraId="32137FBB">
            <w:pPr>
              <w:pStyle w:val="305"/>
              <w:jc w:val="center"/>
              <w:rPr>
                <w:rFonts w:ascii="Times New Roman"/>
                <w:color w:val="auto"/>
                <w:sz w:val="24"/>
                <w:szCs w:val="24"/>
                <w:highlight w:val="none"/>
              </w:rPr>
            </w:pPr>
          </w:p>
        </w:tc>
      </w:tr>
      <w:tr w14:paraId="72745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52686938">
            <w:pPr>
              <w:pStyle w:val="305"/>
              <w:spacing w:before="58"/>
              <w:ind w:left="90" w:right="47"/>
              <w:jc w:val="center"/>
              <w:rPr>
                <w:rFonts w:ascii="Times New Roman"/>
                <w:color w:val="auto"/>
                <w:sz w:val="24"/>
                <w:szCs w:val="24"/>
                <w:highlight w:val="none"/>
              </w:rPr>
            </w:pPr>
            <w:r>
              <w:rPr>
                <w:rFonts w:ascii="Times New Roman"/>
                <w:color w:val="auto"/>
                <w:sz w:val="24"/>
                <w:szCs w:val="24"/>
                <w:highlight w:val="none"/>
              </w:rPr>
              <w:t>15</w:t>
            </w:r>
          </w:p>
        </w:tc>
        <w:tc>
          <w:tcPr>
            <w:tcW w:w="1093" w:type="dxa"/>
            <w:vMerge w:val="continue"/>
            <w:vAlign w:val="center"/>
          </w:tcPr>
          <w:p w14:paraId="5B0AB860">
            <w:pPr>
              <w:jc w:val="center"/>
              <w:rPr>
                <w:color w:val="auto"/>
                <w:sz w:val="24"/>
                <w:szCs w:val="24"/>
                <w:highlight w:val="none"/>
              </w:rPr>
            </w:pPr>
          </w:p>
        </w:tc>
        <w:tc>
          <w:tcPr>
            <w:tcW w:w="6060" w:type="dxa"/>
            <w:vAlign w:val="center"/>
          </w:tcPr>
          <w:p w14:paraId="4C1C64A6">
            <w:pPr>
              <w:pStyle w:val="305"/>
              <w:spacing w:before="123"/>
              <w:ind w:left="223" w:right="215"/>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板浦</w:t>
            </w:r>
            <w:r>
              <w:rPr>
                <w:rFonts w:ascii="Times New Roman" w:eastAsia="Times New Roman"/>
                <w:color w:val="auto"/>
                <w:sz w:val="24"/>
                <w:szCs w:val="24"/>
                <w:highlight w:val="none"/>
              </w:rPr>
              <w:t>(</w:t>
            </w:r>
            <w:r>
              <w:rPr>
                <w:color w:val="auto"/>
                <w:position w:val="1"/>
                <w:sz w:val="24"/>
                <w:szCs w:val="24"/>
                <w:highlight w:val="none"/>
              </w:rPr>
              <w:t>板浦镇政府</w:t>
            </w:r>
            <w:r>
              <w:rPr>
                <w:rFonts w:ascii="Times New Roman" w:eastAsia="Times New Roman"/>
                <w:color w:val="auto"/>
                <w:sz w:val="24"/>
                <w:szCs w:val="24"/>
                <w:highlight w:val="none"/>
              </w:rPr>
              <w:t>)-</w:t>
            </w:r>
            <w:r>
              <w:rPr>
                <w:color w:val="auto"/>
                <w:position w:val="1"/>
                <w:sz w:val="24"/>
                <w:szCs w:val="24"/>
                <w:highlight w:val="none"/>
              </w:rPr>
              <w:t xml:space="preserve">宁海 </w:t>
            </w:r>
            <w:r>
              <w:rPr>
                <w:rFonts w:ascii="Times New Roman" w:eastAsia="Times New Roman"/>
                <w:color w:val="auto"/>
                <w:sz w:val="24"/>
                <w:szCs w:val="24"/>
                <w:highlight w:val="none"/>
              </w:rPr>
              <w:t>2</w:t>
            </w:r>
          </w:p>
        </w:tc>
        <w:tc>
          <w:tcPr>
            <w:tcW w:w="788" w:type="dxa"/>
            <w:vAlign w:val="center"/>
          </w:tcPr>
          <w:p w14:paraId="00034E7A">
            <w:pPr>
              <w:pStyle w:val="305"/>
              <w:jc w:val="center"/>
              <w:rPr>
                <w:rFonts w:ascii="Times New Roman"/>
                <w:color w:val="auto"/>
                <w:sz w:val="24"/>
                <w:szCs w:val="24"/>
                <w:highlight w:val="none"/>
              </w:rPr>
            </w:pPr>
          </w:p>
        </w:tc>
      </w:tr>
      <w:tr w14:paraId="59ACA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28" w:type="dxa"/>
            <w:vAlign w:val="center"/>
          </w:tcPr>
          <w:p w14:paraId="01505856">
            <w:pPr>
              <w:pStyle w:val="305"/>
              <w:spacing w:before="151"/>
              <w:ind w:left="90" w:right="78"/>
              <w:jc w:val="center"/>
              <w:rPr>
                <w:rFonts w:ascii="Times New Roman"/>
                <w:color w:val="auto"/>
                <w:sz w:val="24"/>
                <w:szCs w:val="24"/>
                <w:highlight w:val="none"/>
              </w:rPr>
            </w:pPr>
            <w:r>
              <w:rPr>
                <w:rFonts w:ascii="Times New Roman"/>
                <w:color w:val="auto"/>
                <w:sz w:val="24"/>
                <w:szCs w:val="24"/>
                <w:highlight w:val="none"/>
              </w:rPr>
              <w:t>16</w:t>
            </w:r>
          </w:p>
        </w:tc>
        <w:tc>
          <w:tcPr>
            <w:tcW w:w="1093" w:type="dxa"/>
            <w:vMerge w:val="continue"/>
            <w:vAlign w:val="center"/>
          </w:tcPr>
          <w:p w14:paraId="2E5DA6DE">
            <w:pPr>
              <w:jc w:val="center"/>
              <w:rPr>
                <w:color w:val="auto"/>
                <w:sz w:val="24"/>
                <w:szCs w:val="24"/>
                <w:highlight w:val="none"/>
              </w:rPr>
            </w:pPr>
          </w:p>
        </w:tc>
        <w:tc>
          <w:tcPr>
            <w:tcW w:w="6060" w:type="dxa"/>
            <w:vAlign w:val="center"/>
          </w:tcPr>
          <w:p w14:paraId="73ABADAE">
            <w:pPr>
              <w:pStyle w:val="305"/>
              <w:spacing w:before="123"/>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平山公交站</w:t>
            </w:r>
            <w:r>
              <w:rPr>
                <w:rFonts w:ascii="Times New Roman" w:eastAsia="Times New Roman"/>
                <w:color w:val="auto"/>
                <w:sz w:val="24"/>
                <w:szCs w:val="24"/>
                <w:highlight w:val="none"/>
              </w:rPr>
              <w:t>-</w:t>
            </w:r>
            <w:r>
              <w:rPr>
                <w:color w:val="auto"/>
                <w:position w:val="1"/>
                <w:sz w:val="24"/>
                <w:szCs w:val="24"/>
                <w:highlight w:val="none"/>
              </w:rPr>
              <w:t xml:space="preserve">在海一方 </w:t>
            </w:r>
            <w:r>
              <w:rPr>
                <w:rFonts w:ascii="Times New Roman" w:eastAsia="Times New Roman"/>
                <w:color w:val="auto"/>
                <w:sz w:val="24"/>
                <w:szCs w:val="24"/>
                <w:highlight w:val="none"/>
              </w:rPr>
              <w:t>1</w:t>
            </w:r>
          </w:p>
        </w:tc>
        <w:tc>
          <w:tcPr>
            <w:tcW w:w="788" w:type="dxa"/>
            <w:vAlign w:val="center"/>
          </w:tcPr>
          <w:p w14:paraId="351449FC">
            <w:pPr>
              <w:pStyle w:val="305"/>
              <w:jc w:val="center"/>
              <w:rPr>
                <w:rFonts w:ascii="Times New Roman"/>
                <w:color w:val="auto"/>
                <w:sz w:val="24"/>
                <w:szCs w:val="24"/>
                <w:highlight w:val="none"/>
              </w:rPr>
            </w:pPr>
          </w:p>
        </w:tc>
      </w:tr>
      <w:tr w14:paraId="18D5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2E680A8F">
            <w:pPr>
              <w:pStyle w:val="305"/>
              <w:spacing w:before="151"/>
              <w:ind w:left="274"/>
              <w:jc w:val="both"/>
              <w:rPr>
                <w:rFonts w:ascii="Times New Roman"/>
                <w:color w:val="auto"/>
                <w:sz w:val="24"/>
                <w:szCs w:val="24"/>
                <w:highlight w:val="none"/>
              </w:rPr>
            </w:pPr>
            <w:r>
              <w:rPr>
                <w:rFonts w:ascii="Times New Roman"/>
                <w:color w:val="auto"/>
                <w:sz w:val="24"/>
                <w:szCs w:val="24"/>
                <w:highlight w:val="none"/>
              </w:rPr>
              <w:t>17</w:t>
            </w:r>
          </w:p>
        </w:tc>
        <w:tc>
          <w:tcPr>
            <w:tcW w:w="1093" w:type="dxa"/>
            <w:vMerge w:val="continue"/>
            <w:vAlign w:val="center"/>
          </w:tcPr>
          <w:p w14:paraId="66A5C644">
            <w:pPr>
              <w:pStyle w:val="305"/>
              <w:jc w:val="center"/>
              <w:rPr>
                <w:rFonts w:ascii="Times New Roman"/>
                <w:color w:val="auto"/>
                <w:sz w:val="24"/>
                <w:szCs w:val="24"/>
                <w:highlight w:val="none"/>
              </w:rPr>
            </w:pPr>
          </w:p>
        </w:tc>
        <w:tc>
          <w:tcPr>
            <w:tcW w:w="6060" w:type="dxa"/>
            <w:vAlign w:val="center"/>
          </w:tcPr>
          <w:p w14:paraId="4F0C5D9A">
            <w:pPr>
              <w:pStyle w:val="305"/>
              <w:spacing w:before="123"/>
              <w:ind w:left="223" w:right="213"/>
              <w:jc w:val="center"/>
              <w:rPr>
                <w:rFonts w:ascii="Times New Roman" w:eastAsia="Times New Roman"/>
                <w:color w:val="auto"/>
                <w:sz w:val="24"/>
                <w:szCs w:val="24"/>
                <w:highlight w:val="none"/>
              </w:rPr>
            </w:pPr>
            <w:r>
              <w:rPr>
                <w:color w:val="auto"/>
                <w:position w:val="1"/>
                <w:sz w:val="24"/>
                <w:szCs w:val="24"/>
                <w:highlight w:val="none"/>
              </w:rPr>
              <w:t>生物中专</w:t>
            </w:r>
            <w:r>
              <w:rPr>
                <w:rFonts w:ascii="Times New Roman" w:eastAsia="Times New Roman"/>
                <w:color w:val="auto"/>
                <w:sz w:val="24"/>
                <w:szCs w:val="24"/>
                <w:highlight w:val="none"/>
              </w:rPr>
              <w:t>-</w:t>
            </w:r>
            <w:r>
              <w:rPr>
                <w:color w:val="auto"/>
                <w:position w:val="1"/>
                <w:sz w:val="24"/>
                <w:szCs w:val="24"/>
                <w:highlight w:val="none"/>
              </w:rPr>
              <w:t>平山公交站</w:t>
            </w:r>
            <w:r>
              <w:rPr>
                <w:rFonts w:ascii="Times New Roman" w:eastAsia="Times New Roman"/>
                <w:color w:val="auto"/>
                <w:sz w:val="24"/>
                <w:szCs w:val="24"/>
                <w:highlight w:val="none"/>
              </w:rPr>
              <w:t>-</w:t>
            </w:r>
            <w:r>
              <w:rPr>
                <w:color w:val="auto"/>
                <w:position w:val="1"/>
                <w:sz w:val="24"/>
                <w:szCs w:val="24"/>
                <w:highlight w:val="none"/>
              </w:rPr>
              <w:t xml:space="preserve">在海一方 </w:t>
            </w:r>
            <w:r>
              <w:rPr>
                <w:rFonts w:ascii="Times New Roman" w:eastAsia="Times New Roman"/>
                <w:color w:val="auto"/>
                <w:sz w:val="24"/>
                <w:szCs w:val="24"/>
                <w:highlight w:val="none"/>
              </w:rPr>
              <w:t>2</w:t>
            </w:r>
          </w:p>
        </w:tc>
        <w:tc>
          <w:tcPr>
            <w:tcW w:w="788" w:type="dxa"/>
            <w:vAlign w:val="center"/>
          </w:tcPr>
          <w:p w14:paraId="7B0FABD7">
            <w:pPr>
              <w:pStyle w:val="305"/>
              <w:jc w:val="center"/>
              <w:rPr>
                <w:rFonts w:ascii="Times New Roman"/>
                <w:color w:val="auto"/>
                <w:sz w:val="24"/>
                <w:szCs w:val="24"/>
                <w:highlight w:val="none"/>
              </w:rPr>
            </w:pPr>
          </w:p>
        </w:tc>
      </w:tr>
      <w:tr w14:paraId="5B98A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4D782712">
            <w:pPr>
              <w:pStyle w:val="305"/>
              <w:spacing w:before="151"/>
              <w:ind w:left="274"/>
              <w:jc w:val="both"/>
              <w:rPr>
                <w:rFonts w:ascii="Times New Roman"/>
                <w:color w:val="auto"/>
                <w:sz w:val="24"/>
                <w:szCs w:val="24"/>
                <w:highlight w:val="none"/>
              </w:rPr>
            </w:pPr>
            <w:r>
              <w:rPr>
                <w:rFonts w:ascii="Times New Roman"/>
                <w:color w:val="auto"/>
                <w:sz w:val="24"/>
                <w:szCs w:val="24"/>
                <w:highlight w:val="none"/>
              </w:rPr>
              <w:t>18</w:t>
            </w:r>
          </w:p>
        </w:tc>
        <w:tc>
          <w:tcPr>
            <w:tcW w:w="1093" w:type="dxa"/>
            <w:vMerge w:val="continue"/>
            <w:vAlign w:val="center"/>
          </w:tcPr>
          <w:p w14:paraId="6F7DB456">
            <w:pPr>
              <w:jc w:val="center"/>
              <w:rPr>
                <w:color w:val="auto"/>
                <w:sz w:val="24"/>
                <w:szCs w:val="24"/>
                <w:highlight w:val="none"/>
              </w:rPr>
            </w:pPr>
          </w:p>
        </w:tc>
        <w:tc>
          <w:tcPr>
            <w:tcW w:w="6060" w:type="dxa"/>
            <w:vAlign w:val="center"/>
          </w:tcPr>
          <w:p w14:paraId="635237C2">
            <w:pPr>
              <w:pStyle w:val="305"/>
              <w:spacing w:before="123"/>
              <w:ind w:left="223" w:right="214"/>
              <w:jc w:val="center"/>
              <w:rPr>
                <w:color w:val="auto"/>
                <w:sz w:val="24"/>
                <w:szCs w:val="24"/>
                <w:highlight w:val="none"/>
              </w:rPr>
            </w:pPr>
            <w:r>
              <w:rPr>
                <w:color w:val="auto"/>
                <w:position w:val="1"/>
                <w:sz w:val="24"/>
                <w:szCs w:val="24"/>
                <w:highlight w:val="none"/>
              </w:rPr>
              <w:t>中云</w:t>
            </w:r>
            <w:r>
              <w:rPr>
                <w:rFonts w:ascii="Times New Roman" w:eastAsia="Times New Roman"/>
                <w:color w:val="auto"/>
                <w:sz w:val="24"/>
                <w:szCs w:val="24"/>
                <w:highlight w:val="none"/>
              </w:rPr>
              <w:t>--</w:t>
            </w:r>
            <w:r>
              <w:rPr>
                <w:color w:val="auto"/>
                <w:position w:val="1"/>
                <w:sz w:val="24"/>
                <w:szCs w:val="24"/>
                <w:highlight w:val="none"/>
              </w:rPr>
              <w:t>板桥公交站</w:t>
            </w:r>
            <w:r>
              <w:rPr>
                <w:rFonts w:ascii="Times New Roman" w:eastAsia="Times New Roman"/>
                <w:color w:val="auto"/>
                <w:sz w:val="24"/>
                <w:szCs w:val="24"/>
                <w:highlight w:val="none"/>
              </w:rPr>
              <w:t>-</w:t>
            </w:r>
            <w:r>
              <w:rPr>
                <w:color w:val="auto"/>
                <w:position w:val="1"/>
                <w:sz w:val="24"/>
                <w:szCs w:val="24"/>
                <w:highlight w:val="none"/>
              </w:rPr>
              <w:t>生物中专（中云</w:t>
            </w:r>
            <w:r>
              <w:rPr>
                <w:rFonts w:ascii="Times New Roman" w:eastAsia="Times New Roman"/>
                <w:color w:val="auto"/>
                <w:sz w:val="24"/>
                <w:szCs w:val="24"/>
                <w:highlight w:val="none"/>
              </w:rPr>
              <w:t>+</w:t>
            </w:r>
            <w:r>
              <w:rPr>
                <w:color w:val="auto"/>
                <w:position w:val="1"/>
                <w:sz w:val="24"/>
                <w:szCs w:val="24"/>
                <w:highlight w:val="none"/>
              </w:rPr>
              <w:t>板桥）</w:t>
            </w:r>
          </w:p>
        </w:tc>
        <w:tc>
          <w:tcPr>
            <w:tcW w:w="788" w:type="dxa"/>
            <w:vAlign w:val="center"/>
          </w:tcPr>
          <w:p w14:paraId="1F24E500">
            <w:pPr>
              <w:pStyle w:val="305"/>
              <w:jc w:val="center"/>
              <w:rPr>
                <w:rFonts w:ascii="Times New Roman"/>
                <w:color w:val="auto"/>
                <w:sz w:val="24"/>
                <w:szCs w:val="24"/>
                <w:highlight w:val="none"/>
              </w:rPr>
            </w:pPr>
          </w:p>
        </w:tc>
      </w:tr>
      <w:tr w14:paraId="1FEC2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045A3907">
            <w:pPr>
              <w:pStyle w:val="305"/>
              <w:spacing w:before="151"/>
              <w:ind w:left="274"/>
              <w:jc w:val="both"/>
              <w:rPr>
                <w:rFonts w:ascii="Times New Roman"/>
                <w:color w:val="auto"/>
                <w:sz w:val="24"/>
                <w:szCs w:val="24"/>
                <w:highlight w:val="none"/>
              </w:rPr>
            </w:pPr>
            <w:r>
              <w:rPr>
                <w:rFonts w:ascii="Times New Roman"/>
                <w:color w:val="auto"/>
                <w:sz w:val="24"/>
                <w:szCs w:val="24"/>
                <w:highlight w:val="none"/>
              </w:rPr>
              <w:t>19</w:t>
            </w:r>
          </w:p>
        </w:tc>
        <w:tc>
          <w:tcPr>
            <w:tcW w:w="1093" w:type="dxa"/>
            <w:vMerge w:val="continue"/>
            <w:vAlign w:val="center"/>
          </w:tcPr>
          <w:p w14:paraId="17186E43">
            <w:pPr>
              <w:jc w:val="center"/>
              <w:rPr>
                <w:color w:val="auto"/>
                <w:sz w:val="24"/>
                <w:szCs w:val="24"/>
                <w:highlight w:val="none"/>
              </w:rPr>
            </w:pPr>
          </w:p>
        </w:tc>
        <w:tc>
          <w:tcPr>
            <w:tcW w:w="6060" w:type="dxa"/>
            <w:vAlign w:val="center"/>
          </w:tcPr>
          <w:p w14:paraId="3774AC14">
            <w:pPr>
              <w:pStyle w:val="305"/>
              <w:spacing w:before="122"/>
              <w:ind w:left="223" w:right="214"/>
              <w:jc w:val="center"/>
              <w:rPr>
                <w:color w:val="auto"/>
                <w:sz w:val="24"/>
                <w:szCs w:val="24"/>
                <w:highlight w:val="none"/>
              </w:rPr>
            </w:pPr>
            <w:r>
              <w:rPr>
                <w:color w:val="auto"/>
                <w:position w:val="1"/>
                <w:sz w:val="24"/>
                <w:szCs w:val="24"/>
                <w:highlight w:val="none"/>
              </w:rPr>
              <w:t>中云</w:t>
            </w:r>
            <w:r>
              <w:rPr>
                <w:rFonts w:ascii="Times New Roman" w:eastAsia="Times New Roman"/>
                <w:color w:val="auto"/>
                <w:sz w:val="24"/>
                <w:szCs w:val="24"/>
                <w:highlight w:val="none"/>
              </w:rPr>
              <w:t>--</w:t>
            </w:r>
            <w:r>
              <w:rPr>
                <w:color w:val="auto"/>
                <w:position w:val="1"/>
                <w:sz w:val="24"/>
                <w:szCs w:val="24"/>
                <w:highlight w:val="none"/>
              </w:rPr>
              <w:t>板桥公交站</w:t>
            </w:r>
            <w:r>
              <w:rPr>
                <w:rFonts w:ascii="Times New Roman" w:eastAsia="Times New Roman"/>
                <w:color w:val="auto"/>
                <w:sz w:val="24"/>
                <w:szCs w:val="24"/>
                <w:highlight w:val="none"/>
              </w:rPr>
              <w:t>-</w:t>
            </w:r>
            <w:r>
              <w:rPr>
                <w:color w:val="auto"/>
                <w:position w:val="1"/>
                <w:sz w:val="24"/>
                <w:szCs w:val="24"/>
                <w:highlight w:val="none"/>
              </w:rPr>
              <w:t>生物中专（中云</w:t>
            </w:r>
            <w:r>
              <w:rPr>
                <w:rFonts w:ascii="Times New Roman" w:eastAsia="Times New Roman"/>
                <w:color w:val="auto"/>
                <w:sz w:val="24"/>
                <w:szCs w:val="24"/>
                <w:highlight w:val="none"/>
              </w:rPr>
              <w:t>+</w:t>
            </w:r>
            <w:r>
              <w:rPr>
                <w:color w:val="auto"/>
                <w:position w:val="1"/>
                <w:sz w:val="24"/>
                <w:szCs w:val="24"/>
                <w:highlight w:val="none"/>
              </w:rPr>
              <w:t>板桥）</w:t>
            </w:r>
          </w:p>
        </w:tc>
        <w:tc>
          <w:tcPr>
            <w:tcW w:w="788" w:type="dxa"/>
            <w:vAlign w:val="center"/>
          </w:tcPr>
          <w:p w14:paraId="09DD3168">
            <w:pPr>
              <w:pStyle w:val="305"/>
              <w:jc w:val="center"/>
              <w:rPr>
                <w:rFonts w:ascii="Times New Roman"/>
                <w:color w:val="auto"/>
                <w:sz w:val="24"/>
                <w:szCs w:val="24"/>
                <w:highlight w:val="none"/>
              </w:rPr>
            </w:pPr>
          </w:p>
        </w:tc>
      </w:tr>
      <w:tr w14:paraId="552D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3BE64C70">
            <w:pPr>
              <w:pStyle w:val="305"/>
              <w:spacing w:before="123"/>
              <w:ind w:left="223" w:right="215"/>
              <w:jc w:val="center"/>
              <w:rPr>
                <w:color w:val="auto"/>
                <w:position w:val="1"/>
                <w:sz w:val="24"/>
                <w:szCs w:val="24"/>
                <w:highlight w:val="none"/>
              </w:rPr>
            </w:pPr>
            <w:r>
              <w:rPr>
                <w:color w:val="auto"/>
                <w:position w:val="1"/>
                <w:sz w:val="24"/>
                <w:szCs w:val="24"/>
                <w:highlight w:val="none"/>
              </w:rPr>
              <w:t>20</w:t>
            </w:r>
          </w:p>
        </w:tc>
        <w:tc>
          <w:tcPr>
            <w:tcW w:w="1093" w:type="dxa"/>
            <w:vMerge w:val="restart"/>
            <w:vAlign w:val="center"/>
          </w:tcPr>
          <w:p w14:paraId="6B670C1C">
            <w:pPr>
              <w:pStyle w:val="305"/>
              <w:spacing w:before="123"/>
              <w:ind w:left="223" w:right="215"/>
              <w:jc w:val="center"/>
              <w:rPr>
                <w:color w:val="auto"/>
                <w:position w:val="1"/>
                <w:sz w:val="24"/>
                <w:szCs w:val="24"/>
                <w:highlight w:val="none"/>
              </w:rPr>
            </w:pPr>
          </w:p>
          <w:p w14:paraId="63376AC0">
            <w:pPr>
              <w:pStyle w:val="305"/>
              <w:spacing w:before="123"/>
              <w:ind w:left="223" w:right="215"/>
              <w:jc w:val="center"/>
              <w:rPr>
                <w:color w:val="auto"/>
                <w:position w:val="1"/>
                <w:sz w:val="24"/>
                <w:szCs w:val="24"/>
                <w:highlight w:val="none"/>
              </w:rPr>
            </w:pPr>
          </w:p>
          <w:p w14:paraId="0BD04536">
            <w:pPr>
              <w:pStyle w:val="305"/>
              <w:spacing w:before="123"/>
              <w:ind w:left="223" w:right="215"/>
              <w:jc w:val="center"/>
              <w:rPr>
                <w:rFonts w:hint="eastAsia"/>
                <w:color w:val="auto"/>
                <w:position w:val="1"/>
                <w:sz w:val="24"/>
                <w:szCs w:val="24"/>
                <w:highlight w:val="none"/>
              </w:rPr>
            </w:pPr>
            <w:r>
              <w:rPr>
                <w:rFonts w:hint="eastAsia"/>
                <w:color w:val="auto"/>
                <w:position w:val="1"/>
                <w:sz w:val="24"/>
                <w:szCs w:val="24"/>
                <w:highlight w:val="none"/>
              </w:rPr>
              <w:t>学校至四县</w:t>
            </w:r>
          </w:p>
        </w:tc>
        <w:tc>
          <w:tcPr>
            <w:tcW w:w="6060" w:type="dxa"/>
            <w:vAlign w:val="center"/>
          </w:tcPr>
          <w:p w14:paraId="587CC190">
            <w:pPr>
              <w:pStyle w:val="305"/>
              <w:spacing w:before="123"/>
              <w:ind w:left="223" w:right="215"/>
              <w:jc w:val="center"/>
              <w:rPr>
                <w:color w:val="auto"/>
                <w:position w:val="1"/>
                <w:sz w:val="24"/>
                <w:szCs w:val="24"/>
                <w:highlight w:val="none"/>
              </w:rPr>
            </w:pPr>
            <w:r>
              <w:rPr>
                <w:color w:val="auto"/>
                <w:position w:val="1"/>
                <w:sz w:val="24"/>
                <w:szCs w:val="24"/>
                <w:highlight w:val="none"/>
              </w:rPr>
              <w:t>生物中专-东海北站-东海南站公交站台 1</w:t>
            </w:r>
          </w:p>
        </w:tc>
        <w:tc>
          <w:tcPr>
            <w:tcW w:w="788" w:type="dxa"/>
            <w:vAlign w:val="center"/>
          </w:tcPr>
          <w:p w14:paraId="68335F33">
            <w:pPr>
              <w:pStyle w:val="305"/>
              <w:jc w:val="center"/>
              <w:rPr>
                <w:rFonts w:ascii="Times New Roman"/>
                <w:color w:val="auto"/>
                <w:sz w:val="24"/>
                <w:szCs w:val="24"/>
                <w:highlight w:val="none"/>
              </w:rPr>
            </w:pPr>
          </w:p>
        </w:tc>
      </w:tr>
      <w:tr w14:paraId="485C7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61EAA138">
            <w:pPr>
              <w:pStyle w:val="305"/>
              <w:spacing w:before="123"/>
              <w:ind w:left="223" w:right="215"/>
              <w:jc w:val="center"/>
              <w:rPr>
                <w:color w:val="auto"/>
                <w:position w:val="1"/>
                <w:sz w:val="24"/>
                <w:szCs w:val="24"/>
                <w:highlight w:val="none"/>
              </w:rPr>
            </w:pPr>
            <w:r>
              <w:rPr>
                <w:color w:val="auto"/>
                <w:position w:val="1"/>
                <w:sz w:val="24"/>
                <w:szCs w:val="24"/>
                <w:highlight w:val="none"/>
              </w:rPr>
              <w:t>21</w:t>
            </w:r>
          </w:p>
        </w:tc>
        <w:tc>
          <w:tcPr>
            <w:tcW w:w="1093" w:type="dxa"/>
            <w:vMerge w:val="continue"/>
            <w:tcBorders>
              <w:top w:val="nil"/>
            </w:tcBorders>
            <w:vAlign w:val="center"/>
          </w:tcPr>
          <w:p w14:paraId="61675C6B">
            <w:pPr>
              <w:pStyle w:val="305"/>
              <w:spacing w:before="123"/>
              <w:ind w:left="223" w:right="215"/>
              <w:jc w:val="center"/>
              <w:rPr>
                <w:color w:val="auto"/>
                <w:position w:val="1"/>
                <w:sz w:val="24"/>
                <w:szCs w:val="24"/>
                <w:highlight w:val="none"/>
              </w:rPr>
            </w:pPr>
          </w:p>
        </w:tc>
        <w:tc>
          <w:tcPr>
            <w:tcW w:w="6060" w:type="dxa"/>
            <w:vAlign w:val="center"/>
          </w:tcPr>
          <w:p w14:paraId="60CEE4DC">
            <w:pPr>
              <w:pStyle w:val="305"/>
              <w:spacing w:before="123"/>
              <w:ind w:left="223" w:right="215"/>
              <w:jc w:val="center"/>
              <w:rPr>
                <w:color w:val="auto"/>
                <w:position w:val="1"/>
                <w:sz w:val="24"/>
                <w:szCs w:val="24"/>
                <w:highlight w:val="none"/>
              </w:rPr>
            </w:pPr>
            <w:r>
              <w:rPr>
                <w:color w:val="auto"/>
                <w:position w:val="1"/>
                <w:sz w:val="24"/>
                <w:szCs w:val="24"/>
                <w:highlight w:val="none"/>
              </w:rPr>
              <w:t>生物中专-东海北站-东海南站公交站台 2</w:t>
            </w:r>
          </w:p>
        </w:tc>
        <w:tc>
          <w:tcPr>
            <w:tcW w:w="788" w:type="dxa"/>
            <w:vAlign w:val="center"/>
          </w:tcPr>
          <w:p w14:paraId="63B4B4AE">
            <w:pPr>
              <w:pStyle w:val="305"/>
              <w:jc w:val="center"/>
              <w:rPr>
                <w:rFonts w:ascii="Times New Roman"/>
                <w:color w:val="auto"/>
                <w:sz w:val="24"/>
                <w:szCs w:val="24"/>
                <w:highlight w:val="none"/>
              </w:rPr>
            </w:pPr>
          </w:p>
        </w:tc>
      </w:tr>
      <w:tr w14:paraId="58905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0173916C">
            <w:pPr>
              <w:pStyle w:val="305"/>
              <w:spacing w:before="123"/>
              <w:ind w:left="223" w:right="215"/>
              <w:jc w:val="center"/>
              <w:rPr>
                <w:color w:val="auto"/>
                <w:position w:val="1"/>
                <w:sz w:val="24"/>
                <w:szCs w:val="24"/>
                <w:highlight w:val="none"/>
              </w:rPr>
            </w:pPr>
            <w:r>
              <w:rPr>
                <w:color w:val="auto"/>
                <w:position w:val="1"/>
                <w:sz w:val="24"/>
                <w:szCs w:val="24"/>
                <w:highlight w:val="none"/>
              </w:rPr>
              <w:t>22</w:t>
            </w:r>
          </w:p>
        </w:tc>
        <w:tc>
          <w:tcPr>
            <w:tcW w:w="1093" w:type="dxa"/>
            <w:vMerge w:val="continue"/>
            <w:tcBorders>
              <w:top w:val="nil"/>
            </w:tcBorders>
            <w:vAlign w:val="center"/>
          </w:tcPr>
          <w:p w14:paraId="0F3B5546">
            <w:pPr>
              <w:pStyle w:val="305"/>
              <w:spacing w:before="123"/>
              <w:ind w:left="223" w:right="215"/>
              <w:jc w:val="center"/>
              <w:rPr>
                <w:color w:val="auto"/>
                <w:position w:val="1"/>
                <w:sz w:val="24"/>
                <w:szCs w:val="24"/>
                <w:highlight w:val="none"/>
              </w:rPr>
            </w:pPr>
          </w:p>
        </w:tc>
        <w:tc>
          <w:tcPr>
            <w:tcW w:w="6060" w:type="dxa"/>
            <w:vAlign w:val="center"/>
          </w:tcPr>
          <w:p w14:paraId="584879A8">
            <w:pPr>
              <w:pStyle w:val="305"/>
              <w:spacing w:before="123"/>
              <w:ind w:left="223" w:right="215"/>
              <w:jc w:val="center"/>
              <w:rPr>
                <w:color w:val="auto"/>
                <w:position w:val="1"/>
                <w:sz w:val="24"/>
                <w:szCs w:val="24"/>
                <w:highlight w:val="none"/>
              </w:rPr>
            </w:pPr>
            <w:r>
              <w:rPr>
                <w:color w:val="auto"/>
                <w:position w:val="1"/>
                <w:sz w:val="24"/>
                <w:szCs w:val="24"/>
                <w:highlight w:val="none"/>
              </w:rPr>
              <w:t>生物中专-小伊-灌云(体育馆)+同兴鲁河四队 1</w:t>
            </w:r>
          </w:p>
        </w:tc>
        <w:tc>
          <w:tcPr>
            <w:tcW w:w="788" w:type="dxa"/>
            <w:vAlign w:val="center"/>
          </w:tcPr>
          <w:p w14:paraId="3F63E3C7">
            <w:pPr>
              <w:pStyle w:val="305"/>
              <w:jc w:val="center"/>
              <w:rPr>
                <w:rFonts w:ascii="Times New Roman"/>
                <w:color w:val="auto"/>
                <w:sz w:val="24"/>
                <w:szCs w:val="24"/>
                <w:highlight w:val="none"/>
              </w:rPr>
            </w:pPr>
          </w:p>
        </w:tc>
      </w:tr>
      <w:tr w14:paraId="7FDAD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5C476978">
            <w:pPr>
              <w:pStyle w:val="305"/>
              <w:spacing w:before="123"/>
              <w:ind w:left="223" w:right="215"/>
              <w:jc w:val="center"/>
              <w:rPr>
                <w:color w:val="auto"/>
                <w:position w:val="1"/>
                <w:sz w:val="24"/>
                <w:szCs w:val="24"/>
                <w:highlight w:val="none"/>
              </w:rPr>
            </w:pPr>
            <w:r>
              <w:rPr>
                <w:color w:val="auto"/>
                <w:position w:val="1"/>
                <w:sz w:val="24"/>
                <w:szCs w:val="24"/>
                <w:highlight w:val="none"/>
              </w:rPr>
              <w:t>23</w:t>
            </w:r>
          </w:p>
        </w:tc>
        <w:tc>
          <w:tcPr>
            <w:tcW w:w="1093" w:type="dxa"/>
            <w:vMerge w:val="continue"/>
            <w:tcBorders>
              <w:top w:val="nil"/>
            </w:tcBorders>
            <w:vAlign w:val="center"/>
          </w:tcPr>
          <w:p w14:paraId="018EF3ED">
            <w:pPr>
              <w:pStyle w:val="305"/>
              <w:spacing w:before="123"/>
              <w:ind w:left="223" w:right="215"/>
              <w:jc w:val="center"/>
              <w:rPr>
                <w:color w:val="auto"/>
                <w:position w:val="1"/>
                <w:sz w:val="24"/>
                <w:szCs w:val="24"/>
                <w:highlight w:val="none"/>
              </w:rPr>
            </w:pPr>
          </w:p>
        </w:tc>
        <w:tc>
          <w:tcPr>
            <w:tcW w:w="6060" w:type="dxa"/>
            <w:vAlign w:val="center"/>
          </w:tcPr>
          <w:p w14:paraId="0B7E6C59">
            <w:pPr>
              <w:pStyle w:val="305"/>
              <w:spacing w:before="123"/>
              <w:ind w:left="223" w:right="215"/>
              <w:jc w:val="center"/>
              <w:rPr>
                <w:color w:val="auto"/>
                <w:position w:val="1"/>
                <w:sz w:val="24"/>
                <w:szCs w:val="24"/>
                <w:highlight w:val="none"/>
              </w:rPr>
            </w:pPr>
            <w:r>
              <w:rPr>
                <w:color w:val="auto"/>
                <w:position w:val="1"/>
                <w:sz w:val="24"/>
                <w:szCs w:val="24"/>
                <w:highlight w:val="none"/>
              </w:rPr>
              <w:t>生物中专-小伊-灌云(体育馆)+同兴鲁河四队 2</w:t>
            </w:r>
          </w:p>
        </w:tc>
        <w:tc>
          <w:tcPr>
            <w:tcW w:w="788" w:type="dxa"/>
            <w:vAlign w:val="center"/>
          </w:tcPr>
          <w:p w14:paraId="1138C496">
            <w:pPr>
              <w:pStyle w:val="305"/>
              <w:jc w:val="center"/>
              <w:rPr>
                <w:rFonts w:ascii="Times New Roman"/>
                <w:color w:val="auto"/>
                <w:sz w:val="24"/>
                <w:szCs w:val="24"/>
                <w:highlight w:val="none"/>
              </w:rPr>
            </w:pPr>
          </w:p>
        </w:tc>
      </w:tr>
      <w:tr w14:paraId="2B829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304A972C">
            <w:pPr>
              <w:pStyle w:val="305"/>
              <w:spacing w:before="123"/>
              <w:ind w:left="223" w:right="215"/>
              <w:jc w:val="center"/>
              <w:rPr>
                <w:color w:val="auto"/>
                <w:position w:val="1"/>
                <w:sz w:val="24"/>
                <w:szCs w:val="24"/>
                <w:highlight w:val="none"/>
              </w:rPr>
            </w:pPr>
            <w:r>
              <w:rPr>
                <w:color w:val="auto"/>
                <w:position w:val="1"/>
                <w:sz w:val="24"/>
                <w:szCs w:val="24"/>
                <w:highlight w:val="none"/>
              </w:rPr>
              <w:t>24</w:t>
            </w:r>
          </w:p>
        </w:tc>
        <w:tc>
          <w:tcPr>
            <w:tcW w:w="1093" w:type="dxa"/>
            <w:vMerge w:val="continue"/>
            <w:tcBorders>
              <w:top w:val="nil"/>
            </w:tcBorders>
            <w:vAlign w:val="center"/>
          </w:tcPr>
          <w:p w14:paraId="405A481E">
            <w:pPr>
              <w:pStyle w:val="305"/>
              <w:spacing w:before="123"/>
              <w:ind w:left="223" w:right="215"/>
              <w:jc w:val="center"/>
              <w:rPr>
                <w:color w:val="auto"/>
                <w:position w:val="1"/>
                <w:sz w:val="24"/>
                <w:szCs w:val="24"/>
                <w:highlight w:val="none"/>
              </w:rPr>
            </w:pPr>
          </w:p>
        </w:tc>
        <w:tc>
          <w:tcPr>
            <w:tcW w:w="6060" w:type="dxa"/>
            <w:vAlign w:val="center"/>
          </w:tcPr>
          <w:p w14:paraId="3E911BAD">
            <w:pPr>
              <w:pStyle w:val="305"/>
              <w:spacing w:before="123"/>
              <w:ind w:left="223" w:right="215"/>
              <w:jc w:val="center"/>
              <w:rPr>
                <w:color w:val="auto"/>
                <w:position w:val="1"/>
                <w:sz w:val="24"/>
                <w:szCs w:val="24"/>
                <w:highlight w:val="none"/>
              </w:rPr>
            </w:pPr>
            <w:r>
              <w:rPr>
                <w:color w:val="auto"/>
                <w:position w:val="1"/>
                <w:sz w:val="24"/>
                <w:szCs w:val="24"/>
                <w:highlight w:val="none"/>
              </w:rPr>
              <w:t>生物中专-沂北-圩丰中学-杨集-灌南车站-头庄</w:t>
            </w:r>
          </w:p>
        </w:tc>
        <w:tc>
          <w:tcPr>
            <w:tcW w:w="788" w:type="dxa"/>
            <w:vAlign w:val="center"/>
          </w:tcPr>
          <w:p w14:paraId="1AD586CE">
            <w:pPr>
              <w:pStyle w:val="305"/>
              <w:jc w:val="center"/>
              <w:rPr>
                <w:rFonts w:ascii="Times New Roman"/>
                <w:color w:val="auto"/>
                <w:sz w:val="24"/>
                <w:szCs w:val="24"/>
                <w:highlight w:val="none"/>
              </w:rPr>
            </w:pPr>
          </w:p>
        </w:tc>
      </w:tr>
      <w:tr w14:paraId="3D208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2E08D629">
            <w:pPr>
              <w:pStyle w:val="305"/>
              <w:spacing w:before="123"/>
              <w:ind w:left="223" w:right="215"/>
              <w:jc w:val="center"/>
              <w:rPr>
                <w:color w:val="auto"/>
                <w:position w:val="1"/>
                <w:sz w:val="24"/>
                <w:szCs w:val="24"/>
                <w:highlight w:val="none"/>
              </w:rPr>
            </w:pPr>
            <w:r>
              <w:rPr>
                <w:color w:val="auto"/>
                <w:position w:val="1"/>
                <w:sz w:val="24"/>
                <w:szCs w:val="24"/>
                <w:highlight w:val="none"/>
              </w:rPr>
              <w:t>25</w:t>
            </w:r>
          </w:p>
        </w:tc>
        <w:tc>
          <w:tcPr>
            <w:tcW w:w="1093" w:type="dxa"/>
            <w:vMerge w:val="continue"/>
            <w:tcBorders>
              <w:top w:val="nil"/>
            </w:tcBorders>
            <w:vAlign w:val="center"/>
          </w:tcPr>
          <w:p w14:paraId="64D9AEDB">
            <w:pPr>
              <w:pStyle w:val="305"/>
              <w:spacing w:before="123"/>
              <w:ind w:left="223" w:right="215"/>
              <w:jc w:val="center"/>
              <w:rPr>
                <w:color w:val="auto"/>
                <w:position w:val="1"/>
                <w:sz w:val="24"/>
                <w:szCs w:val="24"/>
                <w:highlight w:val="none"/>
              </w:rPr>
            </w:pPr>
          </w:p>
        </w:tc>
        <w:tc>
          <w:tcPr>
            <w:tcW w:w="6060" w:type="dxa"/>
            <w:vAlign w:val="center"/>
          </w:tcPr>
          <w:p w14:paraId="54655DA3">
            <w:pPr>
              <w:pStyle w:val="305"/>
              <w:spacing w:before="123"/>
              <w:ind w:left="223" w:right="215"/>
              <w:jc w:val="center"/>
              <w:rPr>
                <w:color w:val="auto"/>
                <w:position w:val="1"/>
                <w:sz w:val="24"/>
                <w:szCs w:val="24"/>
                <w:highlight w:val="none"/>
              </w:rPr>
            </w:pPr>
            <w:r>
              <w:rPr>
                <w:color w:val="auto"/>
                <w:position w:val="1"/>
                <w:sz w:val="24"/>
                <w:szCs w:val="24"/>
                <w:highlight w:val="none"/>
              </w:rPr>
              <w:t>生物中专-赣榆(北站)1</w:t>
            </w:r>
          </w:p>
        </w:tc>
        <w:tc>
          <w:tcPr>
            <w:tcW w:w="788" w:type="dxa"/>
            <w:vAlign w:val="center"/>
          </w:tcPr>
          <w:p w14:paraId="502F2F71">
            <w:pPr>
              <w:pStyle w:val="305"/>
              <w:jc w:val="center"/>
              <w:rPr>
                <w:rFonts w:ascii="Times New Roman"/>
                <w:color w:val="auto"/>
                <w:sz w:val="24"/>
                <w:szCs w:val="24"/>
                <w:highlight w:val="none"/>
              </w:rPr>
            </w:pPr>
          </w:p>
        </w:tc>
      </w:tr>
      <w:tr w14:paraId="4EF69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62417CC7">
            <w:pPr>
              <w:pStyle w:val="305"/>
              <w:spacing w:before="123"/>
              <w:ind w:left="223" w:right="215"/>
              <w:jc w:val="center"/>
              <w:rPr>
                <w:color w:val="auto"/>
                <w:position w:val="1"/>
                <w:sz w:val="24"/>
                <w:szCs w:val="24"/>
                <w:highlight w:val="none"/>
              </w:rPr>
            </w:pPr>
            <w:r>
              <w:rPr>
                <w:color w:val="auto"/>
                <w:position w:val="1"/>
                <w:sz w:val="24"/>
                <w:szCs w:val="24"/>
                <w:highlight w:val="none"/>
              </w:rPr>
              <w:t>26</w:t>
            </w:r>
          </w:p>
        </w:tc>
        <w:tc>
          <w:tcPr>
            <w:tcW w:w="1093" w:type="dxa"/>
            <w:vMerge w:val="continue"/>
            <w:tcBorders>
              <w:top w:val="nil"/>
            </w:tcBorders>
            <w:vAlign w:val="center"/>
          </w:tcPr>
          <w:p w14:paraId="30B8458C">
            <w:pPr>
              <w:pStyle w:val="305"/>
              <w:spacing w:before="123"/>
              <w:ind w:left="223" w:right="215"/>
              <w:jc w:val="center"/>
              <w:rPr>
                <w:color w:val="auto"/>
                <w:position w:val="1"/>
                <w:sz w:val="24"/>
                <w:szCs w:val="24"/>
                <w:highlight w:val="none"/>
              </w:rPr>
            </w:pPr>
          </w:p>
        </w:tc>
        <w:tc>
          <w:tcPr>
            <w:tcW w:w="6060" w:type="dxa"/>
            <w:vAlign w:val="center"/>
          </w:tcPr>
          <w:p w14:paraId="48B1EAE8">
            <w:pPr>
              <w:pStyle w:val="305"/>
              <w:spacing w:before="123"/>
              <w:ind w:left="223" w:right="215"/>
              <w:jc w:val="center"/>
              <w:rPr>
                <w:color w:val="auto"/>
                <w:position w:val="1"/>
                <w:sz w:val="24"/>
                <w:szCs w:val="24"/>
                <w:highlight w:val="none"/>
              </w:rPr>
            </w:pPr>
            <w:r>
              <w:rPr>
                <w:color w:val="auto"/>
                <w:position w:val="1"/>
                <w:sz w:val="24"/>
                <w:szCs w:val="24"/>
                <w:highlight w:val="none"/>
              </w:rPr>
              <w:t>生物中专-赣榆(北站)2</w:t>
            </w:r>
          </w:p>
        </w:tc>
        <w:tc>
          <w:tcPr>
            <w:tcW w:w="788" w:type="dxa"/>
            <w:vAlign w:val="center"/>
          </w:tcPr>
          <w:p w14:paraId="6D017B5A">
            <w:pPr>
              <w:pStyle w:val="305"/>
              <w:jc w:val="center"/>
              <w:rPr>
                <w:rFonts w:ascii="Times New Roman"/>
                <w:color w:val="auto"/>
                <w:sz w:val="24"/>
                <w:szCs w:val="24"/>
                <w:highlight w:val="none"/>
              </w:rPr>
            </w:pPr>
          </w:p>
        </w:tc>
      </w:tr>
      <w:tr w14:paraId="50ED7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28" w:type="dxa"/>
            <w:vAlign w:val="center"/>
          </w:tcPr>
          <w:p w14:paraId="12D1648A">
            <w:pPr>
              <w:pStyle w:val="305"/>
              <w:spacing w:before="123"/>
              <w:ind w:left="223" w:right="215"/>
              <w:jc w:val="center"/>
              <w:rPr>
                <w:color w:val="auto"/>
                <w:position w:val="1"/>
                <w:sz w:val="24"/>
                <w:szCs w:val="24"/>
                <w:highlight w:val="none"/>
              </w:rPr>
            </w:pPr>
            <w:r>
              <w:rPr>
                <w:color w:val="auto"/>
                <w:position w:val="1"/>
                <w:sz w:val="24"/>
                <w:szCs w:val="24"/>
                <w:highlight w:val="none"/>
              </w:rPr>
              <w:t>27</w:t>
            </w:r>
          </w:p>
        </w:tc>
        <w:tc>
          <w:tcPr>
            <w:tcW w:w="1093" w:type="dxa"/>
            <w:vMerge w:val="continue"/>
            <w:tcBorders>
              <w:top w:val="nil"/>
            </w:tcBorders>
            <w:vAlign w:val="center"/>
          </w:tcPr>
          <w:p w14:paraId="70ADCF15">
            <w:pPr>
              <w:pStyle w:val="305"/>
              <w:spacing w:before="123"/>
              <w:ind w:left="223" w:right="215"/>
              <w:jc w:val="center"/>
              <w:rPr>
                <w:color w:val="auto"/>
                <w:position w:val="1"/>
                <w:sz w:val="24"/>
                <w:szCs w:val="24"/>
                <w:highlight w:val="none"/>
              </w:rPr>
            </w:pPr>
          </w:p>
        </w:tc>
        <w:tc>
          <w:tcPr>
            <w:tcW w:w="6060" w:type="dxa"/>
            <w:vAlign w:val="center"/>
          </w:tcPr>
          <w:p w14:paraId="48A9446C">
            <w:pPr>
              <w:pStyle w:val="305"/>
              <w:spacing w:before="123"/>
              <w:ind w:left="223" w:right="215"/>
              <w:jc w:val="center"/>
              <w:rPr>
                <w:color w:val="auto"/>
                <w:position w:val="1"/>
                <w:sz w:val="24"/>
                <w:szCs w:val="24"/>
                <w:highlight w:val="none"/>
              </w:rPr>
            </w:pPr>
            <w:r>
              <w:rPr>
                <w:color w:val="auto"/>
                <w:position w:val="1"/>
                <w:sz w:val="24"/>
                <w:szCs w:val="24"/>
                <w:highlight w:val="none"/>
              </w:rPr>
              <w:t>生物中专-赣榆(北站)3</w:t>
            </w:r>
          </w:p>
        </w:tc>
        <w:tc>
          <w:tcPr>
            <w:tcW w:w="788" w:type="dxa"/>
            <w:vAlign w:val="center"/>
          </w:tcPr>
          <w:p w14:paraId="7E3F9799">
            <w:pPr>
              <w:pStyle w:val="305"/>
              <w:jc w:val="center"/>
              <w:rPr>
                <w:rFonts w:ascii="Times New Roman"/>
                <w:color w:val="auto"/>
                <w:sz w:val="24"/>
                <w:szCs w:val="24"/>
                <w:highlight w:val="none"/>
              </w:rPr>
            </w:pPr>
          </w:p>
        </w:tc>
      </w:tr>
      <w:tr w14:paraId="76A52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28" w:type="dxa"/>
            <w:vAlign w:val="center"/>
          </w:tcPr>
          <w:p w14:paraId="4697A22C">
            <w:pPr>
              <w:pStyle w:val="305"/>
              <w:spacing w:before="123"/>
              <w:ind w:left="223" w:right="215"/>
              <w:jc w:val="center"/>
              <w:rPr>
                <w:color w:val="auto"/>
                <w:position w:val="1"/>
                <w:sz w:val="24"/>
                <w:szCs w:val="24"/>
                <w:highlight w:val="none"/>
              </w:rPr>
            </w:pPr>
            <w:r>
              <w:rPr>
                <w:color w:val="auto"/>
                <w:position w:val="1"/>
                <w:sz w:val="24"/>
                <w:szCs w:val="24"/>
                <w:highlight w:val="none"/>
              </w:rPr>
              <w:t>28</w:t>
            </w:r>
          </w:p>
        </w:tc>
        <w:tc>
          <w:tcPr>
            <w:tcW w:w="1093" w:type="dxa"/>
            <w:vAlign w:val="center"/>
          </w:tcPr>
          <w:p w14:paraId="239A8088">
            <w:pPr>
              <w:pStyle w:val="305"/>
              <w:spacing w:before="123"/>
              <w:ind w:left="223" w:right="215"/>
              <w:jc w:val="center"/>
              <w:rPr>
                <w:rFonts w:hint="default"/>
                <w:color w:val="auto"/>
                <w:position w:val="1"/>
                <w:sz w:val="24"/>
                <w:szCs w:val="24"/>
                <w:highlight w:val="none"/>
                <w:lang w:val="en-US" w:eastAsia="zh-CN"/>
              </w:rPr>
            </w:pPr>
            <w:r>
              <w:rPr>
                <w:rFonts w:hint="eastAsia"/>
                <w:color w:val="auto"/>
                <w:position w:val="1"/>
                <w:sz w:val="24"/>
                <w:szCs w:val="24"/>
                <w:highlight w:val="none"/>
                <w:lang w:val="en-US" w:eastAsia="zh-CN"/>
              </w:rPr>
              <w:t>教师用车</w:t>
            </w:r>
          </w:p>
        </w:tc>
        <w:tc>
          <w:tcPr>
            <w:tcW w:w="6060" w:type="dxa"/>
            <w:vAlign w:val="center"/>
          </w:tcPr>
          <w:p w14:paraId="1BEB3A94">
            <w:pPr>
              <w:pStyle w:val="305"/>
              <w:spacing w:before="123"/>
              <w:ind w:left="223" w:right="215"/>
              <w:jc w:val="center"/>
              <w:rPr>
                <w:color w:val="auto"/>
                <w:position w:val="1"/>
                <w:sz w:val="24"/>
                <w:szCs w:val="24"/>
                <w:highlight w:val="none"/>
              </w:rPr>
            </w:pPr>
            <w:r>
              <w:rPr>
                <w:color w:val="auto"/>
                <w:position w:val="1"/>
                <w:sz w:val="24"/>
                <w:szCs w:val="24"/>
                <w:highlight w:val="none"/>
              </w:rPr>
              <w:t>生物中专-东辛农场-海州</w:t>
            </w:r>
          </w:p>
        </w:tc>
        <w:tc>
          <w:tcPr>
            <w:tcW w:w="788" w:type="dxa"/>
            <w:vAlign w:val="center"/>
          </w:tcPr>
          <w:p w14:paraId="6130D54E">
            <w:pPr>
              <w:pStyle w:val="305"/>
              <w:jc w:val="center"/>
              <w:rPr>
                <w:rFonts w:ascii="Times New Roman"/>
                <w:color w:val="auto"/>
                <w:sz w:val="24"/>
                <w:szCs w:val="24"/>
                <w:highlight w:val="none"/>
              </w:rPr>
            </w:pPr>
          </w:p>
        </w:tc>
      </w:tr>
    </w:tbl>
    <w:p w14:paraId="1CAFC2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en-US" w:eastAsia="zh-CN"/>
        </w:rPr>
        <w:t>、服务期限</w:t>
      </w:r>
    </w:p>
    <w:p w14:paraId="082F3FF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color w:val="auto"/>
          <w:sz w:val="24"/>
          <w:szCs w:val="24"/>
          <w:highlight w:val="none"/>
        </w:rPr>
        <w:t>★合同履行期限（服务期限）</w:t>
      </w:r>
      <w:r>
        <w:rPr>
          <w:rFonts w:hint="eastAsia" w:ascii="宋体" w:hAnsi="宋体" w:cs="宋体"/>
          <w:b/>
          <w:color w:val="auto"/>
          <w:sz w:val="24"/>
          <w:szCs w:val="24"/>
          <w:highlight w:val="none"/>
          <w:lang w:eastAsia="zh-CN"/>
        </w:rPr>
        <w:t>：</w:t>
      </w:r>
      <w:r>
        <w:rPr>
          <w:rFonts w:hint="eastAsia" w:ascii="宋体" w:hAnsi="宋体"/>
          <w:color w:val="auto"/>
          <w:sz w:val="24"/>
          <w:szCs w:val="24"/>
          <w:highlight w:val="none"/>
          <w:lang w:val="en-US" w:eastAsia="zh-CN"/>
        </w:rPr>
        <w:t>2025年-2026年学年</w:t>
      </w:r>
      <w:r>
        <w:rPr>
          <w:rFonts w:hint="eastAsia" w:ascii="宋体" w:hAnsi="宋体"/>
          <w:color w:val="auto"/>
          <w:sz w:val="24"/>
          <w:szCs w:val="24"/>
          <w:highlight w:val="none"/>
          <w:lang w:eastAsia="zh-CN"/>
        </w:rPr>
        <w:t>（以采购人指定要求为准）</w:t>
      </w:r>
      <w:r>
        <w:rPr>
          <w:rFonts w:hint="eastAsia" w:ascii="宋体" w:hAnsi="宋体" w:eastAsia="宋体" w:cs="宋体"/>
          <w:b/>
          <w:color w:val="auto"/>
          <w:sz w:val="24"/>
          <w:szCs w:val="24"/>
          <w:highlight w:val="none"/>
        </w:rPr>
        <w:t>。</w:t>
      </w:r>
    </w:p>
    <w:p w14:paraId="1B3EF31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、履约验收</w:t>
      </w:r>
    </w:p>
    <w:p w14:paraId="3D2D320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合同履行期间的具体内容按实际要求为准，</w:t>
      </w:r>
      <w:r>
        <w:rPr>
          <w:rFonts w:hint="eastAsia" w:ascii="宋体" w:hAnsi="宋体" w:eastAsia="宋体" w:cs="宋体"/>
          <w:b w:val="0"/>
          <w:bCs/>
          <w:color w:val="auto"/>
          <w:sz w:val="24"/>
          <w:szCs w:val="24"/>
          <w:highlight w:val="none"/>
          <w:lang w:val="en-US" w:eastAsia="zh-CN"/>
        </w:rPr>
        <w:t>中标人</w:t>
      </w:r>
      <w:r>
        <w:rPr>
          <w:rFonts w:hint="eastAsia" w:ascii="宋体" w:hAnsi="宋体" w:eastAsia="宋体" w:cs="宋体"/>
          <w:color w:val="auto"/>
          <w:sz w:val="24"/>
          <w:szCs w:val="24"/>
          <w:highlight w:val="none"/>
        </w:rPr>
        <w:t>按服务需求提供相关材料及服务工作，应保证所提供的材料符合清单要求，设备及服务人员配备及时到位，服务结束后由项目需求单位验收签字，视为通过验收。</w:t>
      </w:r>
    </w:p>
    <w:p w14:paraId="5BB42D9C">
      <w:pPr>
        <w:keepNext w:val="0"/>
        <w:keepLines w:val="0"/>
        <w:pageBreakBefore w:val="0"/>
        <w:widowControl w:val="0"/>
        <w:kinsoku/>
        <w:wordWrap/>
        <w:overflowPunct/>
        <w:topLinePunct w:val="0"/>
        <w:autoSpaceDE/>
        <w:autoSpaceDN/>
        <w:bidi w:val="0"/>
        <w:adjustRightInd/>
        <w:snapToGrid/>
        <w:spacing w:line="520" w:lineRule="exact"/>
        <w:textAlignment w:val="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2、如因采购人需求调整、政策变化、不可抗力等原因，导致本项目中部分会务内容无需实施的，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统一按照实际发生量进行结算。</w:t>
      </w:r>
    </w:p>
    <w:p w14:paraId="5A04B1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、履约保证金</w:t>
      </w:r>
    </w:p>
    <w:p w14:paraId="63D83324">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color w:val="auto"/>
          <w:sz w:val="24"/>
          <w:szCs w:val="24"/>
          <w:highlight w:val="none"/>
        </w:rPr>
        <w:t>本项目不收取履约保证金。</w:t>
      </w:r>
    </w:p>
    <w:p w14:paraId="2003217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、报价要求</w:t>
      </w:r>
    </w:p>
    <w:p w14:paraId="6F2F15B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应根</w:t>
      </w:r>
      <w:r>
        <w:rPr>
          <w:rFonts w:hint="eastAsia" w:ascii="宋体" w:hAnsi="宋体" w:eastAsia="宋体" w:cs="宋体"/>
          <w:b w:val="0"/>
          <w:bCs/>
          <w:color w:val="auto"/>
          <w:sz w:val="24"/>
          <w:szCs w:val="24"/>
          <w:highlight w:val="none"/>
          <w:lang w:val="en-US" w:eastAsia="zh-CN"/>
        </w:rPr>
        <w:t>据结合市场实际进行报价，建议</w:t>
      </w: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进行现场勘查，以全面了解可能存在的风险。投标报价为全费用综合单价（</w:t>
      </w:r>
      <w:r>
        <w:rPr>
          <w:rFonts w:hint="eastAsia" w:ascii="宋体" w:hAnsi="宋体" w:eastAsia="宋体" w:cs="宋体"/>
          <w:b w:val="0"/>
          <w:bCs/>
          <w:color w:val="auto"/>
          <w:sz w:val="24"/>
          <w:szCs w:val="24"/>
          <w:highlight w:val="none"/>
        </w:rPr>
        <w:t>每趟</w:t>
      </w:r>
      <w:r>
        <w:rPr>
          <w:rFonts w:hint="eastAsia" w:ascii="宋体" w:hAnsi="宋体" w:eastAsia="宋体" w:cs="宋体"/>
          <w:b w:val="0"/>
          <w:bCs/>
          <w:color w:val="auto"/>
          <w:sz w:val="24"/>
          <w:szCs w:val="24"/>
          <w:highlight w:val="none"/>
          <w:lang w:val="en-US" w:eastAsia="zh-CN"/>
        </w:rPr>
        <w:t>或每天均为</w:t>
      </w:r>
      <w:r>
        <w:rPr>
          <w:rFonts w:hint="eastAsia" w:ascii="宋体" w:hAnsi="宋体" w:eastAsia="宋体" w:cs="宋体"/>
          <w:b w:val="0"/>
          <w:bCs/>
          <w:color w:val="auto"/>
          <w:sz w:val="24"/>
          <w:szCs w:val="24"/>
          <w:highlight w:val="none"/>
        </w:rPr>
        <w:t>包干价</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应包</w:t>
      </w:r>
      <w:r>
        <w:rPr>
          <w:rFonts w:hint="eastAsia" w:ascii="宋体" w:hAnsi="宋体" w:eastAsia="宋体" w:cs="宋体"/>
          <w:b w:val="0"/>
          <w:bCs/>
          <w:color w:val="auto"/>
          <w:sz w:val="24"/>
          <w:szCs w:val="24"/>
          <w:highlight w:val="none"/>
          <w:lang w:val="en-US" w:eastAsia="zh-CN"/>
        </w:rPr>
        <w:t>含油费、租车费、停车费、折旧费、保险费、过路费、过桥费、修理费、交通事故产生的费用、利润、税金、驾驶员工资、福利、餐费等费用。</w:t>
      </w:r>
      <w:r>
        <w:rPr>
          <w:rFonts w:hint="eastAsia" w:ascii="宋体" w:hAnsi="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lang w:val="en-US" w:eastAsia="zh-CN"/>
        </w:rPr>
        <w:t>不再支付</w:t>
      </w:r>
      <w:r>
        <w:rPr>
          <w:rFonts w:hint="eastAsia" w:ascii="宋体" w:hAnsi="宋体" w:eastAsia="宋体" w:cs="宋体"/>
          <w:b w:val="0"/>
          <w:bCs/>
          <w:color w:val="auto"/>
          <w:sz w:val="24"/>
          <w:szCs w:val="24"/>
          <w:highlight w:val="none"/>
        </w:rPr>
        <w:t>任何额外费用。</w:t>
      </w:r>
      <w:r>
        <w:rPr>
          <w:rFonts w:hint="eastAsia" w:ascii="宋体" w:hAnsi="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报价时</w:t>
      </w:r>
      <w:r>
        <w:rPr>
          <w:rFonts w:hint="eastAsia" w:ascii="宋体" w:hAnsi="宋体" w:eastAsia="宋体" w:cs="宋体"/>
          <w:b w:val="0"/>
          <w:bCs/>
          <w:color w:val="auto"/>
          <w:sz w:val="24"/>
          <w:szCs w:val="24"/>
          <w:highlight w:val="none"/>
          <w:lang w:val="en-US" w:eastAsia="zh-CN"/>
        </w:rPr>
        <w:t>还</w:t>
      </w:r>
      <w:r>
        <w:rPr>
          <w:rFonts w:hint="eastAsia" w:ascii="宋体" w:hAnsi="宋体" w:eastAsia="宋体" w:cs="宋体"/>
          <w:b w:val="0"/>
          <w:bCs/>
          <w:color w:val="auto"/>
          <w:sz w:val="24"/>
          <w:szCs w:val="24"/>
          <w:highlight w:val="none"/>
        </w:rPr>
        <w:t>应考虑因公共卫生事件（如非典、新冠疫情等）或自然灾害（如台风、地震、洪水等）、战争等不可抗力等因素影响，导致用车量减少或停用。采购人将按实结算。</w:t>
      </w:r>
    </w:p>
    <w:p w14:paraId="2A1C8A12">
      <w:pPr>
        <w:pStyle w:val="185"/>
        <w:rPr>
          <w:rFonts w:hint="eastAsia" w:ascii="黑体" w:eastAsia="黑体"/>
          <w:bCs/>
          <w:color w:val="auto"/>
          <w:sz w:val="44"/>
          <w:highlight w:val="none"/>
        </w:rPr>
      </w:pPr>
      <w:r>
        <w:rPr>
          <w:rFonts w:ascii="Arial" w:hAnsi="Arial" w:cs="Arial"/>
          <w:b/>
          <w:color w:val="auto"/>
          <w:sz w:val="24"/>
          <w:szCs w:val="24"/>
          <w:highlight w:val="none"/>
        </w:rPr>
        <w:br w:type="page" w:clear="all"/>
      </w:r>
      <w:bookmarkStart w:id="244" w:name="_Toc32632"/>
      <w:bookmarkStart w:id="245" w:name="_Toc3139"/>
      <w:bookmarkStart w:id="246" w:name="_Toc120614281"/>
      <w:r>
        <w:rPr>
          <w:rFonts w:hint="eastAsia" w:ascii="黑体" w:eastAsia="黑体"/>
          <w:color w:val="auto"/>
          <w:sz w:val="44"/>
          <w:szCs w:val="44"/>
          <w:highlight w:val="none"/>
        </w:rPr>
        <w:t>第五章  评标方法与评标标准</w:t>
      </w:r>
      <w:bookmarkEnd w:id="244"/>
      <w:bookmarkEnd w:id="245"/>
    </w:p>
    <w:p w14:paraId="2991C0F6">
      <w:pPr>
        <w:rPr>
          <w:rFonts w:hint="eastAsia"/>
          <w:color w:val="auto"/>
          <w:highlight w:val="none"/>
        </w:rPr>
      </w:pPr>
    </w:p>
    <w:p w14:paraId="6156B3BF">
      <w:pPr>
        <w:widowControl/>
        <w:spacing w:line="360" w:lineRule="auto"/>
        <w:ind w:firstLine="482"/>
        <w:rPr>
          <w:rFonts w:ascii="宋体" w:hAnsi="宋体"/>
          <w:b/>
          <w:color w:val="auto"/>
          <w:sz w:val="24"/>
          <w:highlight w:val="none"/>
        </w:rPr>
      </w:pPr>
      <w:r>
        <w:rPr>
          <w:rFonts w:hint="eastAsia" w:ascii="宋体" w:hAnsi="宋体"/>
          <w:b/>
          <w:color w:val="auto"/>
          <w:sz w:val="24"/>
          <w:highlight w:val="none"/>
        </w:rPr>
        <w:t>一、评标方法：综合评分法</w:t>
      </w:r>
    </w:p>
    <w:p w14:paraId="34A98436">
      <w:pPr>
        <w:widowControl/>
        <w:spacing w:line="360" w:lineRule="auto"/>
        <w:ind w:firstLine="480"/>
        <w:rPr>
          <w:rFonts w:ascii="宋体" w:hAnsi="宋体"/>
          <w:color w:val="auto"/>
          <w:sz w:val="24"/>
          <w:highlight w:val="none"/>
        </w:rPr>
      </w:pPr>
      <w:r>
        <w:rPr>
          <w:rFonts w:hint="eastAsia" w:ascii="宋体" w:hAnsi="宋体"/>
          <w:color w:val="auto"/>
          <w:sz w:val="24"/>
          <w:highlight w:val="none"/>
        </w:rPr>
        <w:t>综合评分法，是指投标文件满足招标文件全部实质性要求，且按照评审因素的量化指标评审得分最高的</w:t>
      </w:r>
      <w:r>
        <w:rPr>
          <w:rFonts w:hint="eastAsia" w:ascii="宋体" w:hAnsi="宋体"/>
          <w:color w:val="auto"/>
          <w:sz w:val="24"/>
          <w:highlight w:val="none"/>
          <w:lang w:eastAsia="zh-CN"/>
        </w:rPr>
        <w:t>供应商</w:t>
      </w:r>
      <w:r>
        <w:rPr>
          <w:rFonts w:hint="eastAsia" w:ascii="宋体" w:hAnsi="宋体"/>
          <w:color w:val="auto"/>
          <w:sz w:val="24"/>
          <w:highlight w:val="none"/>
        </w:rPr>
        <w:t>为中标候选人的评标办法。</w:t>
      </w:r>
    </w:p>
    <w:p w14:paraId="77109FAE">
      <w:pPr>
        <w:spacing w:line="360" w:lineRule="auto"/>
        <w:ind w:firstLine="441"/>
        <w:jc w:val="left"/>
        <w:rPr>
          <w:rFonts w:ascii="Arial" w:hAnsi="Arial" w:cs="Arial"/>
          <w:b/>
          <w:bCs/>
          <w:color w:val="auto"/>
          <w:sz w:val="24"/>
          <w:szCs w:val="24"/>
          <w:highlight w:val="none"/>
        </w:rPr>
      </w:pPr>
      <w:r>
        <w:rPr>
          <w:rFonts w:hint="eastAsia" w:ascii="Arial" w:hAnsi="Arial" w:cs="Arial"/>
          <w:b/>
          <w:bCs/>
          <w:color w:val="auto"/>
          <w:sz w:val="24"/>
          <w:szCs w:val="24"/>
          <w:highlight w:val="none"/>
        </w:rPr>
        <w:t>二、评标委员会构成：</w:t>
      </w:r>
    </w:p>
    <w:p w14:paraId="54F92FE2">
      <w:pPr>
        <w:widowControl/>
        <w:spacing w:line="360" w:lineRule="auto"/>
        <w:ind w:firstLine="480"/>
        <w:rPr>
          <w:rFonts w:hint="eastAsia" w:ascii="宋体" w:hAnsi="宋体"/>
          <w:b/>
          <w:color w:val="auto"/>
          <w:sz w:val="24"/>
          <w:highlight w:val="none"/>
        </w:rPr>
      </w:pPr>
      <w:r>
        <w:rPr>
          <w:rFonts w:hint="eastAsia" w:ascii="Arial" w:hAnsi="Arial" w:cs="Arial"/>
          <w:color w:val="auto"/>
          <w:sz w:val="24"/>
          <w:szCs w:val="24"/>
          <w:highlight w:val="none"/>
        </w:rPr>
        <w:t>本采购项目评标委员会的评委由采购人代表和评审专家组成。</w:t>
      </w:r>
    </w:p>
    <w:p w14:paraId="36D368BF">
      <w:pPr>
        <w:widowControl/>
        <w:spacing w:line="360" w:lineRule="auto"/>
        <w:ind w:firstLine="482"/>
        <w:rPr>
          <w:rFonts w:hint="eastAsia" w:ascii="宋体" w:hAnsi="宋体"/>
          <w:color w:val="auto"/>
          <w:sz w:val="24"/>
          <w:highlight w:val="none"/>
        </w:rPr>
      </w:pPr>
      <w:r>
        <w:rPr>
          <w:rFonts w:hint="eastAsia" w:ascii="宋体" w:hAnsi="宋体"/>
          <w:b/>
          <w:color w:val="auto"/>
          <w:sz w:val="24"/>
          <w:highlight w:val="none"/>
        </w:rPr>
        <w:t>三、评标原则</w:t>
      </w:r>
      <w:r>
        <w:rPr>
          <w:rFonts w:hint="eastAsia" w:ascii="宋体" w:hAnsi="宋体"/>
          <w:color w:val="auto"/>
          <w:sz w:val="24"/>
          <w:highlight w:val="none"/>
        </w:rPr>
        <w:t>：</w:t>
      </w:r>
    </w:p>
    <w:p w14:paraId="1B85525F">
      <w:pPr>
        <w:widowControl/>
        <w:spacing w:line="360" w:lineRule="auto"/>
        <w:ind w:firstLine="480"/>
        <w:rPr>
          <w:rFonts w:ascii="宋体" w:hAnsi="宋体"/>
          <w:color w:val="auto"/>
          <w:sz w:val="24"/>
          <w:highlight w:val="none"/>
        </w:rPr>
      </w:pPr>
      <w:r>
        <w:rPr>
          <w:rFonts w:hint="eastAsia" w:ascii="宋体" w:hAnsi="宋体"/>
          <w:color w:val="auto"/>
          <w:sz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0B0A41AD">
      <w:pPr>
        <w:widowControl/>
        <w:spacing w:line="360" w:lineRule="auto"/>
        <w:ind w:firstLine="482"/>
        <w:rPr>
          <w:rFonts w:ascii="宋体" w:hAnsi="宋体"/>
          <w:b/>
          <w:color w:val="auto"/>
          <w:sz w:val="24"/>
          <w:highlight w:val="none"/>
        </w:rPr>
      </w:pPr>
      <w:r>
        <w:rPr>
          <w:rFonts w:hint="eastAsia" w:ascii="宋体" w:hAnsi="宋体"/>
          <w:b/>
          <w:color w:val="auto"/>
          <w:sz w:val="24"/>
          <w:highlight w:val="none"/>
        </w:rPr>
        <w:t>四、评标标准：</w:t>
      </w:r>
    </w:p>
    <w:p w14:paraId="2EFD8451">
      <w:pPr>
        <w:widowControl/>
        <w:spacing w:line="360" w:lineRule="auto"/>
        <w:ind w:firstLine="480"/>
        <w:rPr>
          <w:rFonts w:ascii="宋体" w:hAnsi="宋体"/>
          <w:color w:val="auto"/>
          <w:sz w:val="24"/>
          <w:highlight w:val="none"/>
        </w:rPr>
      </w:pPr>
      <w:r>
        <w:rPr>
          <w:rFonts w:hint="eastAsia" w:ascii="宋体" w:hAnsi="宋体"/>
          <w:color w:val="auto"/>
          <w:sz w:val="24"/>
          <w:highlight w:val="none"/>
        </w:rPr>
        <w:t>1、评标时，评标委员会以招标文件为评标依据，评标委员会各成员独立对每个</w:t>
      </w:r>
      <w:r>
        <w:rPr>
          <w:rFonts w:hint="eastAsia" w:ascii="宋体" w:hAnsi="宋体"/>
          <w:color w:val="auto"/>
          <w:sz w:val="24"/>
          <w:highlight w:val="none"/>
          <w:lang w:eastAsia="zh-CN"/>
        </w:rPr>
        <w:t>供应商</w:t>
      </w:r>
      <w:r>
        <w:rPr>
          <w:rFonts w:hint="eastAsia" w:ascii="宋体" w:hAnsi="宋体"/>
          <w:color w:val="auto"/>
          <w:sz w:val="24"/>
          <w:highlight w:val="none"/>
        </w:rPr>
        <w:t>的投标文件进行评价，并汇总每个</w:t>
      </w:r>
      <w:r>
        <w:rPr>
          <w:rFonts w:hint="eastAsia" w:ascii="宋体" w:hAnsi="宋体"/>
          <w:color w:val="auto"/>
          <w:sz w:val="24"/>
          <w:highlight w:val="none"/>
          <w:lang w:eastAsia="zh-CN"/>
        </w:rPr>
        <w:t>供应商</w:t>
      </w:r>
      <w:r>
        <w:rPr>
          <w:rFonts w:hint="eastAsia" w:ascii="宋体" w:hAnsi="宋体"/>
          <w:color w:val="auto"/>
          <w:sz w:val="24"/>
          <w:highlight w:val="none"/>
        </w:rPr>
        <w:t>的得分。</w:t>
      </w:r>
    </w:p>
    <w:p w14:paraId="1E8A5E57">
      <w:pPr>
        <w:widowControl/>
        <w:spacing w:line="360" w:lineRule="auto"/>
        <w:ind w:firstLine="480"/>
        <w:rPr>
          <w:rFonts w:ascii="宋体" w:hAnsi="宋体"/>
          <w:color w:val="auto"/>
          <w:sz w:val="24"/>
          <w:highlight w:val="none"/>
        </w:rPr>
      </w:pPr>
      <w:r>
        <w:rPr>
          <w:rFonts w:hint="eastAsia" w:ascii="宋体" w:hAnsi="宋体"/>
          <w:color w:val="auto"/>
          <w:sz w:val="24"/>
          <w:highlight w:val="none"/>
        </w:rPr>
        <w:t>2、本项目评分总分为100分，按四舍五入取至小数点后两位。</w:t>
      </w:r>
    </w:p>
    <w:p w14:paraId="3DAECC48">
      <w:pPr>
        <w:widowControl/>
        <w:spacing w:line="360" w:lineRule="auto"/>
        <w:ind w:firstLine="480"/>
        <w:rPr>
          <w:rFonts w:ascii="宋体" w:hAnsi="宋体"/>
          <w:color w:val="auto"/>
          <w:sz w:val="24"/>
          <w:highlight w:val="none"/>
        </w:rPr>
      </w:pPr>
      <w:r>
        <w:rPr>
          <w:rFonts w:hint="eastAsia" w:ascii="宋体" w:hAnsi="宋体"/>
          <w:color w:val="auto"/>
          <w:sz w:val="24"/>
          <w:highlight w:val="none"/>
        </w:rPr>
        <w:t>3、总得分=价格分+</w:t>
      </w:r>
      <w:r>
        <w:rPr>
          <w:rFonts w:hint="eastAsia" w:ascii="宋体" w:hAnsi="宋体"/>
          <w:color w:val="auto"/>
          <w:sz w:val="24"/>
          <w:highlight w:val="none"/>
          <w:lang w:val="en-US" w:eastAsia="zh-CN"/>
        </w:rPr>
        <w:t>技术分+</w:t>
      </w:r>
      <w:r>
        <w:rPr>
          <w:rFonts w:hint="eastAsia" w:ascii="宋体" w:hAnsi="宋体"/>
          <w:color w:val="auto"/>
          <w:sz w:val="24"/>
          <w:highlight w:val="none"/>
        </w:rPr>
        <w:t>商务分</w:t>
      </w:r>
    </w:p>
    <w:p w14:paraId="3D975094">
      <w:pPr>
        <w:widowControl/>
        <w:spacing w:line="360" w:lineRule="auto"/>
        <w:ind w:firstLine="480"/>
        <w:rPr>
          <w:rFonts w:ascii="宋体" w:hAnsi="宋体"/>
          <w:color w:val="auto"/>
          <w:sz w:val="24"/>
          <w:highlight w:val="none"/>
        </w:rPr>
      </w:pPr>
      <w:r>
        <w:rPr>
          <w:rFonts w:hint="eastAsia" w:ascii="宋体" w:hAnsi="宋体"/>
          <w:color w:val="auto"/>
          <w:sz w:val="24"/>
          <w:highlight w:val="none"/>
        </w:rPr>
        <w:t>4、中标标准：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olor w:val="auto"/>
          <w:sz w:val="24"/>
          <w:highlight w:val="none"/>
          <w:lang w:eastAsia="zh-CN"/>
        </w:rPr>
        <w:t>供应商</w:t>
      </w:r>
      <w:r>
        <w:rPr>
          <w:rFonts w:hint="eastAsia" w:ascii="宋体" w:hAnsi="宋体"/>
          <w:color w:val="auto"/>
          <w:sz w:val="24"/>
          <w:highlight w:val="none"/>
        </w:rPr>
        <w:t>为中标候选人。本项目选取1名中标候选人。</w:t>
      </w:r>
    </w:p>
    <w:p w14:paraId="419E5251">
      <w:pPr>
        <w:pStyle w:val="246"/>
        <w:tabs>
          <w:tab w:val="left" w:pos="720"/>
        </w:tabs>
        <w:spacing w:line="360" w:lineRule="auto"/>
        <w:ind w:left="734" w:hanging="343"/>
        <w:jc w:val="center"/>
        <w:rPr>
          <w:b/>
          <w:color w:val="auto"/>
          <w:sz w:val="28"/>
          <w:szCs w:val="28"/>
          <w:highlight w:val="none"/>
        </w:rPr>
      </w:pPr>
      <w:r>
        <w:rPr>
          <w:rFonts w:hint="eastAsia"/>
          <w:b/>
          <w:color w:val="auto"/>
          <w:sz w:val="28"/>
          <w:szCs w:val="28"/>
          <w:highlight w:val="none"/>
        </w:rPr>
        <w:t>综合评分法</w:t>
      </w:r>
    </w:p>
    <w:p w14:paraId="5B2A8518">
      <w:pPr>
        <w:keepNext w:val="0"/>
        <w:keepLines w:val="0"/>
        <w:pageBreakBefore w:val="0"/>
        <w:widowControl/>
        <w:numPr>
          <w:ilvl w:val="0"/>
          <w:numId w:val="5"/>
        </w:numPr>
        <w:spacing w:before="146" w:after="146"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价格分：</w:t>
      </w:r>
      <w:r>
        <w:rPr>
          <w:rFonts w:hint="eastAsia" w:ascii="宋体" w:hAnsi="宋体"/>
          <w:b/>
          <w:bCs/>
          <w:color w:val="auto"/>
          <w:sz w:val="24"/>
          <w:highlight w:val="none"/>
          <w:lang w:val="en-US" w:eastAsia="zh-CN"/>
        </w:rPr>
        <w:t>10</w:t>
      </w:r>
      <w:r>
        <w:rPr>
          <w:rFonts w:hint="eastAsia" w:ascii="宋体" w:hAnsi="宋体"/>
          <w:b/>
          <w:bCs/>
          <w:color w:val="auto"/>
          <w:sz w:val="24"/>
          <w:highlight w:val="none"/>
        </w:rPr>
        <w:t>分</w:t>
      </w:r>
    </w:p>
    <w:p w14:paraId="11F47B98">
      <w:pPr>
        <w:keepNext w:val="0"/>
        <w:keepLines w:val="0"/>
        <w:pageBreakBefore w:val="0"/>
        <w:widowControl/>
        <w:spacing w:line="360" w:lineRule="auto"/>
        <w:ind w:firstLine="48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采用低价优先法计算，即满足招标文件要求且投标价格最低的投标报价为评标基准价，其价格分为满分。其他</w:t>
      </w:r>
      <w:r>
        <w:rPr>
          <w:rFonts w:hint="eastAsia" w:ascii="宋体" w:hAnsi="宋体" w:cs="Times New Roman"/>
          <w:b w:val="0"/>
          <w:bCs w:val="0"/>
          <w:color w:val="auto"/>
          <w:sz w:val="24"/>
          <w:highlight w:val="none"/>
          <w:lang w:val="en-US" w:eastAsia="zh-CN"/>
        </w:rPr>
        <w:t>供应商</w:t>
      </w:r>
      <w:r>
        <w:rPr>
          <w:rFonts w:hint="eastAsia" w:ascii="宋体" w:hAnsi="宋体" w:eastAsia="宋体" w:cs="Times New Roman"/>
          <w:b w:val="0"/>
          <w:bCs w:val="0"/>
          <w:color w:val="auto"/>
          <w:sz w:val="24"/>
          <w:highlight w:val="none"/>
          <w:lang w:val="en-US" w:eastAsia="zh-CN"/>
        </w:rPr>
        <w:t>的价格分统一按照下列公式计算：</w:t>
      </w:r>
    </w:p>
    <w:p w14:paraId="286BE49E">
      <w:pPr>
        <w:keepNext w:val="0"/>
        <w:keepLines w:val="0"/>
        <w:pageBreakBefore w:val="0"/>
        <w:widowControl/>
        <w:spacing w:line="360" w:lineRule="auto"/>
        <w:ind w:firstLine="48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投标报价得分=（评标基准价/投标报价）×1</w:t>
      </w:r>
      <w:r>
        <w:rPr>
          <w:rFonts w:hint="eastAsia" w:ascii="宋体" w:hAnsi="宋体" w:cs="Times New Roman"/>
          <w:b w:val="0"/>
          <w:bCs w:val="0"/>
          <w:color w:val="auto"/>
          <w:sz w:val="24"/>
          <w:highlight w:val="none"/>
          <w:lang w:val="en-US" w:eastAsia="zh-CN"/>
        </w:rPr>
        <w:t>0</w:t>
      </w:r>
      <w:r>
        <w:rPr>
          <w:rFonts w:hint="eastAsia" w:ascii="宋体" w:hAnsi="宋体" w:eastAsia="宋体" w:cs="Times New Roman"/>
          <w:b w:val="0"/>
          <w:bCs w:val="0"/>
          <w:color w:val="auto"/>
          <w:sz w:val="24"/>
          <w:highlight w:val="none"/>
          <w:lang w:val="en-US" w:eastAsia="zh-CN"/>
        </w:rPr>
        <w:t>分。</w:t>
      </w:r>
    </w:p>
    <w:p w14:paraId="68F66913">
      <w:pPr>
        <w:keepNext w:val="0"/>
        <w:keepLines w:val="0"/>
        <w:pageBreakBefore w:val="0"/>
        <w:widowControl/>
        <w:spacing w:line="360" w:lineRule="auto"/>
        <w:ind w:firstLine="48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评标过程中，不得去掉报价中的最高报价和最低报价</w:t>
      </w:r>
    </w:p>
    <w:p w14:paraId="64386D44">
      <w:pPr>
        <w:keepNext w:val="0"/>
        <w:keepLines w:val="0"/>
        <w:pageBreakBefore w:val="0"/>
        <w:widowControl/>
        <w:spacing w:line="360" w:lineRule="auto"/>
        <w:ind w:firstLine="48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p>
    <w:p w14:paraId="6FDA9225">
      <w:pPr>
        <w:keepNext w:val="0"/>
        <w:keepLines w:val="0"/>
        <w:pageBreakBefore w:val="0"/>
        <w:widowControl/>
        <w:spacing w:before="146" w:after="146" w:line="360" w:lineRule="auto"/>
        <w:ind w:firstLine="48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rPr>
        <w:t>技术分</w:t>
      </w:r>
      <w:r>
        <w:rPr>
          <w:rFonts w:hint="eastAsia" w:ascii="宋体" w:hAnsi="宋体" w:eastAsia="宋体" w:cs="Times New Roman"/>
          <w:b/>
          <w:bCs/>
          <w:color w:val="auto"/>
          <w:sz w:val="24"/>
          <w:highlight w:val="none"/>
          <w:lang w:eastAsia="zh-CN"/>
        </w:rPr>
        <w:t>：</w:t>
      </w:r>
      <w:r>
        <w:rPr>
          <w:rFonts w:hint="eastAsia" w:ascii="宋体" w:hAnsi="宋体" w:cs="Times New Roman"/>
          <w:b/>
          <w:bCs/>
          <w:color w:val="auto"/>
          <w:sz w:val="24"/>
          <w:highlight w:val="none"/>
          <w:lang w:val="en-US" w:eastAsia="zh-CN"/>
        </w:rPr>
        <w:t>5</w:t>
      </w:r>
      <w:r>
        <w:rPr>
          <w:rFonts w:hint="eastAsia" w:ascii="宋体" w:hAnsi="宋体" w:eastAsia="宋体" w:cs="Times New Roman"/>
          <w:b/>
          <w:bCs/>
          <w:color w:val="auto"/>
          <w:sz w:val="24"/>
          <w:highlight w:val="none"/>
          <w:lang w:val="en-US" w:eastAsia="zh-CN"/>
        </w:rPr>
        <w:t>0</w:t>
      </w:r>
      <w:r>
        <w:rPr>
          <w:rFonts w:hint="eastAsia" w:ascii="宋体" w:hAnsi="宋体" w:eastAsia="宋体" w:cs="Times New Roman"/>
          <w:b/>
          <w:bCs/>
          <w:color w:val="auto"/>
          <w:sz w:val="24"/>
          <w:highlight w:val="none"/>
        </w:rPr>
        <w:t>分</w:t>
      </w:r>
    </w:p>
    <w:tbl>
      <w:tblPr>
        <w:tblStyle w:val="3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7505"/>
      </w:tblGrid>
      <w:tr w14:paraId="7D8E0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D819A58">
            <w:pPr>
              <w:keepNext w:val="0"/>
              <w:keepLines w:val="0"/>
              <w:pageBreakBefore w:val="0"/>
              <w:widowControl w:val="0"/>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505" w:type="dxa"/>
            <w:noWrap w:val="0"/>
            <w:vAlign w:val="center"/>
          </w:tcPr>
          <w:p w14:paraId="79DCF7C8">
            <w:pPr>
              <w:keepNext w:val="0"/>
              <w:keepLines w:val="0"/>
              <w:pageBreakBefore w:val="0"/>
              <w:widowControl w:val="0"/>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36D4C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1" w:hRule="atLeast"/>
          <w:jc w:val="center"/>
        </w:trPr>
        <w:tc>
          <w:tcPr>
            <w:tcW w:w="1660" w:type="dxa"/>
            <w:shd w:val="clear" w:color="auto" w:fill="auto"/>
            <w:noWrap w:val="0"/>
            <w:vAlign w:val="center"/>
          </w:tcPr>
          <w:p w14:paraId="5BD6D38C">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管理方案</w:t>
            </w:r>
          </w:p>
          <w:p w14:paraId="50A0A23B">
            <w:pPr>
              <w:keepNext w:val="0"/>
              <w:keepLines w:val="0"/>
              <w:pageBreakBefore w:val="0"/>
              <w:widowControl w:val="0"/>
              <w:spacing w:line="320" w:lineRule="exact"/>
              <w:jc w:val="center"/>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tc>
        <w:tc>
          <w:tcPr>
            <w:tcW w:w="7505" w:type="dxa"/>
            <w:shd w:val="clear" w:color="auto" w:fill="auto"/>
            <w:noWrap w:val="0"/>
            <w:vAlign w:val="center"/>
          </w:tcPr>
          <w:p w14:paraId="14F126B5">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根据供应商针对本项目制定的管理方案，包括但不限于配合项目履约监督及现场检查、车辆档案管理、</w:t>
            </w:r>
            <w:r>
              <w:rPr>
                <w:rFonts w:hint="eastAsia" w:ascii="宋体" w:hAnsi="宋体" w:cs="宋体"/>
                <w:color w:val="auto"/>
                <w:sz w:val="24"/>
                <w:szCs w:val="24"/>
                <w:highlight w:val="none"/>
                <w:lang w:val="en-US" w:eastAsia="zh-CN" w:bidi="ar-SA"/>
              </w:rPr>
              <w:t>日常管理、</w:t>
            </w:r>
            <w:r>
              <w:rPr>
                <w:rFonts w:hint="eastAsia" w:ascii="宋体" w:hAnsi="宋体" w:eastAsia="宋体" w:cs="宋体"/>
                <w:color w:val="auto"/>
                <w:sz w:val="24"/>
                <w:szCs w:val="24"/>
                <w:highlight w:val="none"/>
                <w:lang w:val="en-US" w:eastAsia="zh-CN" w:bidi="ar-SA"/>
              </w:rPr>
              <w:t>卫生保洁、用户信息反馈与处置机制等进行评标：</w:t>
            </w:r>
          </w:p>
          <w:p w14:paraId="03CD2AD0">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针对性强，合理且可操作性强的得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 xml:space="preserve">分； </w:t>
            </w:r>
          </w:p>
          <w:p w14:paraId="763BF258">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针对性较强，较为合理且可操作性强的得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 xml:space="preserve">分； </w:t>
            </w:r>
          </w:p>
          <w:p w14:paraId="5C981E8E">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针对性一般，合理性一般且可操作性一般的得2分； </w:t>
            </w:r>
          </w:p>
          <w:p w14:paraId="0EF211D3">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3C986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9" w:hRule="atLeast"/>
          <w:jc w:val="center"/>
        </w:trPr>
        <w:tc>
          <w:tcPr>
            <w:tcW w:w="1660" w:type="dxa"/>
            <w:shd w:val="clear" w:color="auto" w:fill="auto"/>
            <w:noWrap w:val="0"/>
            <w:vAlign w:val="center"/>
          </w:tcPr>
          <w:p w14:paraId="1EDB6D40">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车辆租赁</w:t>
            </w:r>
            <w:r>
              <w:rPr>
                <w:rFonts w:hint="eastAsia" w:ascii="宋体" w:hAnsi="宋体" w:eastAsia="宋体" w:cs="宋体"/>
                <w:color w:val="auto"/>
                <w:sz w:val="24"/>
                <w:szCs w:val="24"/>
                <w:highlight w:val="none"/>
                <w:lang w:val="en-US" w:eastAsia="zh-CN" w:bidi="ar-SA"/>
              </w:rPr>
              <w:t>方案</w:t>
            </w:r>
          </w:p>
          <w:p w14:paraId="0D773169">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tc>
        <w:tc>
          <w:tcPr>
            <w:tcW w:w="7505" w:type="dxa"/>
            <w:shd w:val="clear" w:color="auto" w:fill="auto"/>
            <w:noWrap w:val="0"/>
            <w:vAlign w:val="center"/>
          </w:tcPr>
          <w:p w14:paraId="1E9B2922">
            <w:pPr>
              <w:pStyle w:val="30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根据拟投入服务车辆介绍，设置专线电话，提供24小时叫车服务，服务车辆租赁服务团队，岗位分工。要求整体方案全面合理、可操作性强。</w:t>
            </w:r>
          </w:p>
          <w:p w14:paraId="54A941A5">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优于项目需求的得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7A2B8420">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满足项目需求得3分；</w:t>
            </w:r>
          </w:p>
          <w:p w14:paraId="38978A66">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其他不得分。</w:t>
            </w:r>
          </w:p>
        </w:tc>
      </w:tr>
      <w:tr w14:paraId="7DC06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6" w:hRule="atLeast"/>
          <w:jc w:val="center"/>
        </w:trPr>
        <w:tc>
          <w:tcPr>
            <w:tcW w:w="1660" w:type="dxa"/>
            <w:shd w:val="clear" w:color="auto" w:fill="auto"/>
            <w:noWrap w:val="0"/>
            <w:vAlign w:val="center"/>
          </w:tcPr>
          <w:p w14:paraId="5EF6A51A">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应急方案</w:t>
            </w:r>
          </w:p>
          <w:p w14:paraId="5FC870ED">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（10分）</w:t>
            </w:r>
          </w:p>
        </w:tc>
        <w:tc>
          <w:tcPr>
            <w:tcW w:w="7505" w:type="dxa"/>
            <w:shd w:val="clear" w:color="auto" w:fill="auto"/>
            <w:noWrap w:val="0"/>
            <w:vAlign w:val="top"/>
          </w:tcPr>
          <w:p w14:paraId="7869E87B">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根据供应商针对本项目制定的应急方案</w:t>
            </w:r>
            <w:r>
              <w:rPr>
                <w:rFonts w:hint="eastAsia" w:ascii="宋体" w:hAnsi="宋体" w:cs="宋体"/>
                <w:color w:val="auto"/>
                <w:sz w:val="24"/>
                <w:szCs w:val="24"/>
                <w:highlight w:val="none"/>
                <w:lang w:val="en-US" w:eastAsia="zh-CN" w:bidi="ar-SA"/>
              </w:rPr>
              <w:t>及服务保障承诺</w:t>
            </w:r>
            <w:r>
              <w:rPr>
                <w:rFonts w:hint="eastAsia" w:ascii="宋体" w:hAnsi="宋体" w:eastAsia="宋体" w:cs="宋体"/>
                <w:color w:val="auto"/>
                <w:sz w:val="24"/>
                <w:szCs w:val="24"/>
                <w:highlight w:val="none"/>
                <w:lang w:val="en-US" w:eastAsia="zh-CN" w:bidi="ar-SA"/>
              </w:rPr>
              <w:t>等进行评标：</w:t>
            </w:r>
          </w:p>
          <w:p w14:paraId="2C123290">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针对性强，合理且可操作性强的得</w:t>
            </w:r>
            <w:r>
              <w:rPr>
                <w:rFonts w:hint="eastAsia" w:ascii="宋体" w:hAnsi="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 xml:space="preserve">分； </w:t>
            </w:r>
          </w:p>
          <w:p w14:paraId="2ABCAF0C">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针对性较强，较为合理且可操作性强的得</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 xml:space="preserve">分； </w:t>
            </w:r>
          </w:p>
          <w:p w14:paraId="43B9ACED">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针对性一般，合理性一般且可操作性一般的得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 xml:space="preserve">分； </w:t>
            </w:r>
          </w:p>
          <w:p w14:paraId="4C688A3F">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005AE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jc w:val="center"/>
        </w:trPr>
        <w:tc>
          <w:tcPr>
            <w:tcW w:w="1660" w:type="dxa"/>
            <w:shd w:val="clear" w:color="auto" w:fill="auto"/>
            <w:noWrap w:val="0"/>
            <w:vAlign w:val="center"/>
          </w:tcPr>
          <w:p w14:paraId="5D08E37E">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服务方案</w:t>
            </w:r>
          </w:p>
          <w:p w14:paraId="2EA7DBA1">
            <w:pPr>
              <w:keepNext w:val="0"/>
              <w:keepLines w:val="0"/>
              <w:pageBreakBefore w:val="0"/>
              <w:widowControl w:val="0"/>
              <w:spacing w:line="320" w:lineRule="exact"/>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（10分）</w:t>
            </w:r>
          </w:p>
        </w:tc>
        <w:tc>
          <w:tcPr>
            <w:tcW w:w="7505" w:type="dxa"/>
            <w:shd w:val="clear" w:color="auto" w:fill="auto"/>
            <w:noWrap w:val="0"/>
            <w:vAlign w:val="center"/>
          </w:tcPr>
          <w:p w14:paraId="5CDA862A">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针对本项目制定的服务方案，包括但不限于服务质量标准化、车辆车身内外整洁，以顾客为中心的服务保障，驾驶员按时接送站和安全文明驾驶的控制机制，服务监督、应急、重大活动服务保障的人员、车辆、工作机制提供相应方案</w:t>
            </w:r>
            <w:r>
              <w:rPr>
                <w:rFonts w:hint="eastAsia" w:ascii="宋体" w:hAnsi="宋体" w:cs="宋体"/>
                <w:color w:val="auto"/>
                <w:sz w:val="24"/>
                <w:szCs w:val="24"/>
                <w:highlight w:val="none"/>
                <w:lang w:val="en-US" w:eastAsia="zh-CN" w:bidi="ar-SA"/>
              </w:rPr>
              <w:t>或</w:t>
            </w:r>
            <w:r>
              <w:rPr>
                <w:rFonts w:hint="eastAsia" w:ascii="宋体" w:hAnsi="宋体" w:eastAsia="宋体" w:cs="宋体"/>
                <w:color w:val="auto"/>
                <w:sz w:val="24"/>
                <w:szCs w:val="24"/>
                <w:highlight w:val="none"/>
                <w:lang w:val="en-US" w:eastAsia="zh-CN" w:bidi="ar-SA"/>
              </w:rPr>
              <w:t>承诺等进行评标：</w:t>
            </w:r>
          </w:p>
          <w:p w14:paraId="7FD3FA47">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针对性强，合理且可操作性强的得</w:t>
            </w:r>
            <w:r>
              <w:rPr>
                <w:rFonts w:hint="eastAsia" w:ascii="宋体" w:hAnsi="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 xml:space="preserve">分； </w:t>
            </w:r>
          </w:p>
          <w:p w14:paraId="62AE77FD">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针对性较强，较为合理且可操作性强的得</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 xml:space="preserve">分； </w:t>
            </w:r>
          </w:p>
          <w:p w14:paraId="787FFB6B">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针对性一般，合理性一般且可操作性一般的得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 xml:space="preserve">分； </w:t>
            </w:r>
          </w:p>
          <w:p w14:paraId="022C894B">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4BD8C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8" w:hRule="atLeast"/>
          <w:jc w:val="center"/>
        </w:trPr>
        <w:tc>
          <w:tcPr>
            <w:tcW w:w="1660" w:type="dxa"/>
            <w:shd w:val="clear" w:color="auto" w:fill="auto"/>
            <w:noWrap w:val="0"/>
            <w:vAlign w:val="center"/>
          </w:tcPr>
          <w:p w14:paraId="4965FFBF">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保障配套方案</w:t>
            </w:r>
          </w:p>
          <w:p w14:paraId="1707A098">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tc>
        <w:tc>
          <w:tcPr>
            <w:tcW w:w="7505" w:type="dxa"/>
            <w:shd w:val="clear" w:color="auto" w:fill="auto"/>
            <w:noWrap w:val="0"/>
            <w:vAlign w:val="center"/>
          </w:tcPr>
          <w:p w14:paraId="1FF4C3E1">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能提供保障配套方案，包括车辆租赁、车辆保养、车辆维修等方面保障配套、服务时效。</w:t>
            </w:r>
          </w:p>
          <w:p w14:paraId="7F527656">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要求整体方案全面合理、可操作性强。</w:t>
            </w:r>
          </w:p>
          <w:p w14:paraId="1802A006">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优于项目需求的得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1165A65A">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满足项目需求得3分；</w:t>
            </w:r>
          </w:p>
          <w:p w14:paraId="112FC3BC">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其他不得分。</w:t>
            </w:r>
          </w:p>
        </w:tc>
      </w:tr>
      <w:tr w14:paraId="12BCF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4" w:hRule="atLeast"/>
          <w:jc w:val="center"/>
        </w:trPr>
        <w:tc>
          <w:tcPr>
            <w:tcW w:w="1660" w:type="dxa"/>
            <w:shd w:val="clear" w:color="auto" w:fill="auto"/>
            <w:noWrap w:val="0"/>
            <w:vAlign w:val="center"/>
          </w:tcPr>
          <w:p w14:paraId="47A6EBDE">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安全管理方案及措施</w:t>
            </w:r>
          </w:p>
          <w:p w14:paraId="28C3A9D2">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tc>
        <w:tc>
          <w:tcPr>
            <w:tcW w:w="7505" w:type="dxa"/>
            <w:shd w:val="clear" w:color="auto" w:fill="auto"/>
            <w:noWrap w:val="0"/>
            <w:vAlign w:val="center"/>
          </w:tcPr>
          <w:p w14:paraId="092BB85D">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根据驾驶员管理，车辆管理，动态监控，运输组织，安全生产操作规程、安全生产管理制度评分。</w:t>
            </w:r>
          </w:p>
          <w:p w14:paraId="374BC189">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要求整体方案全面合理、可操作性强。</w:t>
            </w:r>
          </w:p>
          <w:p w14:paraId="03EFDBA2">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优于项目需求的得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19FC5F58">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满足项目需求得3分；</w:t>
            </w:r>
          </w:p>
          <w:p w14:paraId="655E5E1E">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其他不得分</w:t>
            </w:r>
            <w:r>
              <w:rPr>
                <w:rFonts w:hint="eastAsia" w:ascii="宋体" w:hAnsi="宋体" w:cs="宋体"/>
                <w:color w:val="auto"/>
                <w:sz w:val="24"/>
                <w:szCs w:val="24"/>
                <w:highlight w:val="none"/>
                <w:lang w:val="en-US" w:eastAsia="zh-CN" w:bidi="ar-SA"/>
              </w:rPr>
              <w:t>。</w:t>
            </w:r>
          </w:p>
        </w:tc>
      </w:tr>
      <w:tr w14:paraId="7E632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9" w:hRule="atLeast"/>
          <w:jc w:val="center"/>
        </w:trPr>
        <w:tc>
          <w:tcPr>
            <w:tcW w:w="1660" w:type="dxa"/>
            <w:shd w:val="clear" w:color="auto" w:fill="auto"/>
            <w:noWrap w:val="0"/>
            <w:vAlign w:val="center"/>
          </w:tcPr>
          <w:p w14:paraId="2BDDDD4E">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培训方案</w:t>
            </w:r>
          </w:p>
          <w:p w14:paraId="32DDEBA7">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tc>
        <w:tc>
          <w:tcPr>
            <w:tcW w:w="7505" w:type="dxa"/>
            <w:shd w:val="clear" w:color="auto" w:fill="auto"/>
            <w:noWrap w:val="0"/>
            <w:vAlign w:val="center"/>
          </w:tcPr>
          <w:p w14:paraId="32D01D82">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驾驶员队伍建设、岗位培训、管理方案全面合理。</w:t>
            </w:r>
          </w:p>
          <w:p w14:paraId="059F78FA">
            <w:pPr>
              <w:pStyle w:val="308"/>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要求整体方案全面合理、可操作性强。</w:t>
            </w:r>
          </w:p>
          <w:p w14:paraId="0E26654A">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优于项目需求的得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3D46DF40">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满足项目需求得3分；</w:t>
            </w:r>
          </w:p>
          <w:p w14:paraId="3013AEA3">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其他不得分。</w:t>
            </w:r>
          </w:p>
        </w:tc>
      </w:tr>
    </w:tbl>
    <w:p w14:paraId="33DCF4CF">
      <w:pPr>
        <w:keepNext w:val="0"/>
        <w:keepLines w:val="0"/>
        <w:pageBreakBefore w:val="0"/>
        <w:widowControl w:val="0"/>
        <w:spacing w:line="320" w:lineRule="exact"/>
        <w:jc w:val="both"/>
        <w:rPr>
          <w:rFonts w:hint="eastAsia" w:ascii="宋体" w:hAnsi="宋体" w:eastAsia="宋体" w:cs="宋体"/>
          <w:color w:val="auto"/>
          <w:sz w:val="24"/>
          <w:szCs w:val="24"/>
          <w:highlight w:val="none"/>
          <w:lang w:val="en-US" w:eastAsia="zh-CN" w:bidi="ar-SA"/>
        </w:rPr>
      </w:pPr>
    </w:p>
    <w:p w14:paraId="48D02435">
      <w:pPr>
        <w:keepNext w:val="0"/>
        <w:keepLines w:val="0"/>
        <w:pageBreakBefore w:val="0"/>
        <w:widowControl w:val="0"/>
        <w:spacing w:line="320" w:lineRule="exact"/>
        <w:jc w:val="both"/>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3.商务分</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40</w:t>
      </w:r>
      <w:r>
        <w:rPr>
          <w:rFonts w:hint="eastAsia" w:ascii="宋体" w:hAnsi="宋体" w:eastAsia="宋体" w:cs="Times New Roman"/>
          <w:b/>
          <w:bCs/>
          <w:color w:val="auto"/>
          <w:sz w:val="24"/>
          <w:highlight w:val="none"/>
        </w:rPr>
        <w:t>分</w:t>
      </w:r>
    </w:p>
    <w:tbl>
      <w:tblPr>
        <w:tblStyle w:val="31"/>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5"/>
        <w:gridCol w:w="7708"/>
      </w:tblGrid>
      <w:tr w14:paraId="3EA82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05" w:type="dxa"/>
            <w:noWrap w:val="0"/>
            <w:vAlign w:val="center"/>
          </w:tcPr>
          <w:p w14:paraId="1625D27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708" w:type="dxa"/>
            <w:noWrap w:val="0"/>
            <w:vAlign w:val="center"/>
          </w:tcPr>
          <w:p w14:paraId="0D7218A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706F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1" w:hRule="atLeast"/>
          <w:jc w:val="center"/>
        </w:trPr>
        <w:tc>
          <w:tcPr>
            <w:tcW w:w="1405" w:type="dxa"/>
            <w:noWrap w:val="0"/>
            <w:vAlign w:val="center"/>
          </w:tcPr>
          <w:p w14:paraId="724B5336">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企业实力</w:t>
            </w:r>
          </w:p>
          <w:p w14:paraId="100D0A8A">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7708" w:type="dxa"/>
            <w:noWrap w:val="0"/>
            <w:vAlign w:val="center"/>
          </w:tcPr>
          <w:p w14:paraId="07AF1915">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bidi="ar-SA"/>
              </w:rPr>
              <w:t>具有有效期内的质量管理体系认证证书得</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w:t>
            </w:r>
          </w:p>
          <w:p w14:paraId="6ADC795A">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bidi="ar-SA"/>
              </w:rPr>
              <w:t>具有有效期内的环境管理体系认证证书得</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w:t>
            </w:r>
          </w:p>
          <w:p w14:paraId="567038F1">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bidi="ar-SA"/>
              </w:rPr>
              <w:t>具有有效期内的职业健康安全管理体系认证证书得</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w:t>
            </w:r>
          </w:p>
          <w:p w14:paraId="535E18BB">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注：投标文件中提供有效证书</w:t>
            </w:r>
            <w:r>
              <w:rPr>
                <w:rFonts w:hint="eastAsia" w:ascii="宋体" w:hAnsi="宋体" w:cs="宋体"/>
                <w:color w:val="auto"/>
                <w:sz w:val="24"/>
                <w:szCs w:val="24"/>
                <w:highlight w:val="none"/>
                <w:lang w:val="en-US" w:eastAsia="zh-CN" w:bidi="ar-SA"/>
              </w:rPr>
              <w:t>彩色</w:t>
            </w:r>
            <w:r>
              <w:rPr>
                <w:rFonts w:hint="eastAsia" w:ascii="宋体" w:hAnsi="宋体" w:eastAsia="宋体" w:cs="宋体"/>
                <w:color w:val="auto"/>
                <w:sz w:val="24"/>
                <w:szCs w:val="24"/>
                <w:highlight w:val="none"/>
                <w:lang w:val="en-US" w:eastAsia="zh-CN" w:bidi="ar-SA"/>
              </w:rPr>
              <w:t>扫描件，否则不得分。</w:t>
            </w:r>
          </w:p>
        </w:tc>
      </w:tr>
      <w:tr w14:paraId="7C041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405" w:type="dxa"/>
            <w:vMerge w:val="restart"/>
            <w:noWrap w:val="0"/>
            <w:vAlign w:val="center"/>
          </w:tcPr>
          <w:p w14:paraId="304E6835">
            <w:pPr>
              <w:keepNext w:val="0"/>
              <w:keepLines w:val="0"/>
              <w:pageBreakBefore w:val="0"/>
              <w:widowControl w:val="0"/>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06DD3B07">
            <w:pPr>
              <w:keepNext w:val="0"/>
              <w:keepLines w:val="0"/>
              <w:pageBreakBefore w:val="0"/>
              <w:widowControl w:val="0"/>
              <w:spacing w:line="3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7708" w:type="dxa"/>
            <w:noWrap w:val="0"/>
            <w:vAlign w:val="center"/>
          </w:tcPr>
          <w:p w14:paraId="5C45FFDF">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年1月1日以来（以合同签订时间为准）</w:t>
            </w:r>
            <w:r>
              <w:rPr>
                <w:rFonts w:hint="eastAsia" w:ascii="宋体" w:hAnsi="宋体" w:eastAsia="宋体" w:cs="宋体"/>
                <w:color w:val="auto"/>
                <w:sz w:val="24"/>
                <w:szCs w:val="24"/>
                <w:highlight w:val="none"/>
                <w:lang w:val="en-US" w:eastAsia="zh-CN"/>
              </w:rPr>
              <w:t>类似</w:t>
            </w:r>
            <w:r>
              <w:rPr>
                <w:rFonts w:hint="eastAsia" w:ascii="宋体" w:hAnsi="宋体" w:cs="宋体"/>
                <w:color w:val="auto"/>
                <w:sz w:val="24"/>
                <w:szCs w:val="24"/>
                <w:highlight w:val="none"/>
                <w:lang w:val="en-US" w:eastAsia="zh-CN"/>
              </w:rPr>
              <w:t>车辆服务业绩的</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每</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一个</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p w14:paraId="0D5B16EB">
            <w:pPr>
              <w:keepNext w:val="0"/>
              <w:keepLines w:val="0"/>
              <w:pageBreakBefore w:val="0"/>
              <w:widowControl w:val="0"/>
              <w:spacing w:line="32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注：需提供合同</w:t>
            </w:r>
            <w:r>
              <w:rPr>
                <w:rFonts w:hint="eastAsia" w:ascii="宋体" w:hAnsi="宋体" w:cs="宋体"/>
                <w:color w:val="auto"/>
                <w:sz w:val="24"/>
                <w:szCs w:val="24"/>
                <w:highlight w:val="none"/>
                <w:lang w:val="en-US" w:eastAsia="zh-CN"/>
              </w:rPr>
              <w:t>彩色</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作为证明材料，未提供本项不得分</w:t>
            </w:r>
            <w:r>
              <w:rPr>
                <w:rFonts w:hint="eastAsia" w:ascii="宋体" w:hAnsi="宋体" w:cs="宋体"/>
                <w:color w:val="auto"/>
                <w:sz w:val="24"/>
                <w:szCs w:val="24"/>
                <w:highlight w:val="none"/>
                <w:lang w:eastAsia="zh-CN"/>
              </w:rPr>
              <w:t>。</w:t>
            </w:r>
          </w:p>
        </w:tc>
      </w:tr>
      <w:tr w14:paraId="27227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6" w:hRule="atLeast"/>
          <w:jc w:val="center"/>
        </w:trPr>
        <w:tc>
          <w:tcPr>
            <w:tcW w:w="1405" w:type="dxa"/>
            <w:noWrap w:val="0"/>
            <w:vAlign w:val="center"/>
          </w:tcPr>
          <w:p w14:paraId="7368DFFE">
            <w:pPr>
              <w:keepNext w:val="0"/>
              <w:keepLines w:val="0"/>
              <w:pageBreakBefore w:val="0"/>
              <w:widowControl w:val="0"/>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用户评价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708" w:type="dxa"/>
            <w:noWrap w:val="0"/>
            <w:vAlign w:val="center"/>
          </w:tcPr>
          <w:p w14:paraId="537A7716">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年1月1日以来获得不同用户对供应商评价为优的意见表（意见表须包含用户明确的评价意见、联系人及联系方式，上述信息不全或者不提供，不得分），每提供1份得1分，最多得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62EC3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4" w:hRule="atLeast"/>
          <w:jc w:val="center"/>
        </w:trPr>
        <w:tc>
          <w:tcPr>
            <w:tcW w:w="1405" w:type="dxa"/>
            <w:shd w:val="clear" w:color="auto" w:fill="auto"/>
            <w:noWrap w:val="0"/>
            <w:vAlign w:val="center"/>
          </w:tcPr>
          <w:p w14:paraId="06C8FA04">
            <w:pPr>
              <w:keepNext w:val="0"/>
              <w:keepLines w:val="0"/>
              <w:pageBreakBefore w:val="0"/>
              <w:widowControl w:val="0"/>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风险防控措施</w:t>
            </w:r>
          </w:p>
          <w:p w14:paraId="1345F9AB">
            <w:pPr>
              <w:keepNext w:val="0"/>
              <w:keepLines w:val="0"/>
              <w:pageBreakBefore w:val="0"/>
              <w:widowControl w:val="0"/>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7708" w:type="dxa"/>
            <w:shd w:val="clear" w:color="auto" w:fill="auto"/>
            <w:noWrap w:val="0"/>
            <w:vAlign w:val="center"/>
          </w:tcPr>
          <w:p w14:paraId="119E53E9">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除国家规定的必保险种，供应商承诺中标后额外为本次政府采购提供服务的车辆投保（提供加盖公章的承诺函，明确险种及投保金额，否则不得分）:</w:t>
            </w:r>
          </w:p>
          <w:p w14:paraId="0AD18281">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①机动车损失险                   1分；</w:t>
            </w:r>
          </w:p>
          <w:p w14:paraId="75983FD9">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②三者险保额：</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rPr>
              <w:t>万，</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200</w:t>
            </w:r>
            <w:r>
              <w:rPr>
                <w:rFonts w:hint="eastAsia" w:ascii="宋体" w:hAnsi="宋体" w:eastAsia="宋体" w:cs="宋体"/>
                <w:color w:val="auto"/>
                <w:sz w:val="24"/>
                <w:szCs w:val="24"/>
                <w:highlight w:val="none"/>
              </w:rPr>
              <w:t>万，3分；3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万及以上5分</w:t>
            </w:r>
          </w:p>
          <w:p w14:paraId="5B0529D3">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③盗抢险                         1分；</w:t>
            </w:r>
          </w:p>
          <w:p w14:paraId="297380CE">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④车上人员（驾驶人）责任险       1分；</w:t>
            </w:r>
          </w:p>
          <w:p w14:paraId="4D646EE3">
            <w:pPr>
              <w:keepNext w:val="0"/>
              <w:keepLines w:val="0"/>
              <w:pageBreakBefore w:val="0"/>
              <w:widowControl w:val="0"/>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⑤车上人员（乘客）责任险         1分；</w:t>
            </w:r>
          </w:p>
          <w:p w14:paraId="12BF17D2">
            <w:pPr>
              <w:keepNext w:val="0"/>
              <w:keepLines w:val="0"/>
              <w:pageBreakBefore w:val="0"/>
              <w:widowControl w:val="0"/>
              <w:spacing w:line="32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⑥不计免赔险                     1分</w:t>
            </w:r>
            <w:r>
              <w:rPr>
                <w:rFonts w:hint="eastAsia" w:ascii="宋体" w:hAnsi="宋体" w:cs="宋体"/>
                <w:color w:val="auto"/>
                <w:sz w:val="24"/>
                <w:szCs w:val="24"/>
                <w:highlight w:val="none"/>
                <w:lang w:eastAsia="zh-CN"/>
              </w:rPr>
              <w:t>。</w:t>
            </w:r>
          </w:p>
        </w:tc>
      </w:tr>
      <w:tr w14:paraId="683EE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1" w:hRule="atLeast"/>
          <w:jc w:val="center"/>
        </w:trPr>
        <w:tc>
          <w:tcPr>
            <w:tcW w:w="1405" w:type="dxa"/>
            <w:shd w:val="clear" w:color="auto" w:fill="auto"/>
            <w:noWrap w:val="0"/>
            <w:vAlign w:val="center"/>
          </w:tcPr>
          <w:p w14:paraId="31B19C7D">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服务质量</w:t>
            </w:r>
          </w:p>
          <w:p w14:paraId="7E0DA81B">
            <w:pPr>
              <w:keepNext w:val="0"/>
              <w:keepLines w:val="0"/>
              <w:pageBreakBefore w:val="0"/>
              <w:widowControl w:val="0"/>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7708" w:type="dxa"/>
            <w:shd w:val="clear" w:color="auto" w:fill="auto"/>
            <w:noWrap w:val="0"/>
            <w:vAlign w:val="center"/>
          </w:tcPr>
          <w:p w14:paraId="5639405C">
            <w:pPr>
              <w:pStyle w:val="308"/>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bidi="ar-SA"/>
              </w:rPr>
              <w:t>近5年未发生过重大及以上等级安全事故（一次造成死亡1至2人，或者重伤3人以上10人以下，或者财产损失3万元以上不足6万元的事故）得6分，连续5年发生上述相关事故不超过两次得2分，连续5年发生相关事故3次及以上不得分。（提供承诺书）</w:t>
            </w:r>
          </w:p>
        </w:tc>
      </w:tr>
    </w:tbl>
    <w:p w14:paraId="42DA112B">
      <w:pPr>
        <w:ind w:firstLine="482"/>
        <w:rPr>
          <w:rFonts w:hint="eastAsia"/>
          <w:b/>
          <w:bCs/>
          <w:color w:val="auto"/>
          <w:sz w:val="24"/>
          <w:szCs w:val="24"/>
          <w:highlight w:val="none"/>
        </w:rPr>
      </w:pPr>
    </w:p>
    <w:p w14:paraId="2BFE6109">
      <w:pPr>
        <w:ind w:firstLine="482"/>
        <w:rPr>
          <w:rFonts w:hint="eastAsia"/>
          <w:b/>
          <w:bCs/>
          <w:color w:val="auto"/>
          <w:sz w:val="24"/>
          <w:szCs w:val="24"/>
          <w:highlight w:val="none"/>
        </w:rPr>
      </w:pPr>
      <w:r>
        <w:rPr>
          <w:rFonts w:hint="eastAsia"/>
          <w:b/>
          <w:bCs/>
          <w:color w:val="auto"/>
          <w:sz w:val="24"/>
          <w:szCs w:val="24"/>
          <w:highlight w:val="none"/>
        </w:rPr>
        <w:t>注：投标文件中所提供的全部证明材料，评审结束后采购人有权进行核实，如有不实，将按照相关法律法规规定进行处理。</w:t>
      </w:r>
    </w:p>
    <w:p w14:paraId="280D7E96">
      <w:pPr>
        <w:pStyle w:val="262"/>
        <w:ind w:firstLine="420"/>
        <w:rPr>
          <w:color w:val="auto"/>
          <w:highlight w:val="none"/>
        </w:rPr>
      </w:pPr>
    </w:p>
    <w:p w14:paraId="5A849C37">
      <w:pPr>
        <w:rPr>
          <w:rFonts w:hint="eastAsia"/>
          <w:color w:val="auto"/>
          <w:highlight w:val="none"/>
        </w:rPr>
      </w:pPr>
    </w:p>
    <w:p w14:paraId="362471C5">
      <w:pPr>
        <w:rPr>
          <w:rFonts w:hint="eastAsia"/>
          <w:color w:val="auto"/>
          <w:highlight w:val="none"/>
        </w:rPr>
      </w:pPr>
    </w:p>
    <w:p w14:paraId="3E64ADCD">
      <w:pPr>
        <w:pStyle w:val="185"/>
        <w:rPr>
          <w:rFonts w:hint="eastAsia" w:ascii="黑体" w:eastAsia="黑体"/>
          <w:bCs/>
          <w:color w:val="auto"/>
          <w:sz w:val="44"/>
          <w:highlight w:val="none"/>
        </w:rPr>
      </w:pPr>
      <w:r>
        <w:rPr>
          <w:rFonts w:hint="eastAsia"/>
          <w:color w:val="auto"/>
          <w:highlight w:val="none"/>
        </w:rPr>
        <w:br w:type="page" w:clear="all"/>
      </w:r>
      <w:bookmarkStart w:id="247" w:name="_Toc25769"/>
      <w:bookmarkStart w:id="248" w:name="_Toc29928"/>
      <w:r>
        <w:rPr>
          <w:rFonts w:hint="eastAsia" w:ascii="黑体" w:eastAsia="黑体"/>
          <w:color w:val="auto"/>
          <w:sz w:val="44"/>
          <w:szCs w:val="44"/>
          <w:highlight w:val="none"/>
        </w:rPr>
        <w:t>第六章  投标</w:t>
      </w:r>
      <w:bookmarkEnd w:id="242"/>
      <w:bookmarkEnd w:id="243"/>
      <w:bookmarkEnd w:id="246"/>
      <w:r>
        <w:rPr>
          <w:rFonts w:hint="eastAsia" w:ascii="黑体" w:eastAsia="黑体"/>
          <w:color w:val="auto"/>
          <w:sz w:val="44"/>
          <w:szCs w:val="44"/>
          <w:highlight w:val="none"/>
        </w:rPr>
        <w:t>文件格式</w:t>
      </w:r>
      <w:bookmarkEnd w:id="247"/>
      <w:bookmarkEnd w:id="248"/>
      <w:r>
        <w:rPr>
          <w:rFonts w:hint="eastAsia" w:ascii="黑体" w:eastAsia="黑体"/>
          <w:color w:val="auto"/>
          <w:sz w:val="44"/>
          <w:szCs w:val="44"/>
          <w:highlight w:val="none"/>
        </w:rPr>
        <w:t xml:space="preserve"> </w:t>
      </w:r>
    </w:p>
    <w:p w14:paraId="6CBAC0AD">
      <w:pPr>
        <w:jc w:val="center"/>
        <w:rPr>
          <w:rFonts w:hint="eastAsia" w:ascii="宋体" w:hAnsi="宋体"/>
          <w:b/>
          <w:color w:val="auto"/>
          <w:sz w:val="72"/>
          <w:highlight w:val="none"/>
        </w:rPr>
      </w:pPr>
      <w:bookmarkStart w:id="249" w:name="_Hlt26671244"/>
      <w:bookmarkEnd w:id="249"/>
      <w:bookmarkStart w:id="250" w:name="_Hlt26955039"/>
      <w:bookmarkEnd w:id="250"/>
      <w:bookmarkStart w:id="251" w:name="_Toc49090576"/>
      <w:bookmarkStart w:id="252" w:name="_Toc120614282"/>
      <w:bookmarkStart w:id="253" w:name="_Toc26554094"/>
    </w:p>
    <w:p w14:paraId="2B83CD1E">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0C3BC455">
      <w:pPr>
        <w:jc w:val="center"/>
        <w:rPr>
          <w:rFonts w:hint="eastAsia" w:ascii="宋体" w:hAnsi="宋体"/>
          <w:b/>
          <w:color w:val="auto"/>
          <w:sz w:val="72"/>
          <w:highlight w:val="none"/>
        </w:rPr>
      </w:pPr>
    </w:p>
    <w:p w14:paraId="10CD3BE9">
      <w:pPr>
        <w:jc w:val="center"/>
        <w:rPr>
          <w:rFonts w:hint="eastAsia" w:ascii="宋体" w:hAnsi="宋体"/>
          <w:b/>
          <w:color w:val="auto"/>
          <w:sz w:val="72"/>
          <w:highlight w:val="none"/>
        </w:rPr>
      </w:pPr>
    </w:p>
    <w:p w14:paraId="0025AFA5">
      <w:pPr>
        <w:jc w:val="center"/>
        <w:rPr>
          <w:rFonts w:hint="eastAsia" w:ascii="宋体" w:hAnsi="宋体"/>
          <w:b/>
          <w:color w:val="auto"/>
          <w:sz w:val="36"/>
          <w:highlight w:val="none"/>
        </w:rPr>
      </w:pPr>
    </w:p>
    <w:p w14:paraId="1D852332">
      <w:pPr>
        <w:jc w:val="center"/>
        <w:rPr>
          <w:rFonts w:hint="eastAsia" w:ascii="宋体" w:hAnsi="宋体"/>
          <w:b/>
          <w:color w:val="auto"/>
          <w:sz w:val="36"/>
          <w:highlight w:val="none"/>
        </w:rPr>
      </w:pPr>
    </w:p>
    <w:p w14:paraId="6BE7403F">
      <w:pPr>
        <w:jc w:val="center"/>
        <w:rPr>
          <w:rFonts w:hint="eastAsia" w:ascii="宋体" w:hAnsi="宋体"/>
          <w:b/>
          <w:color w:val="auto"/>
          <w:sz w:val="36"/>
          <w:highlight w:val="none"/>
        </w:rPr>
      </w:pPr>
    </w:p>
    <w:p w14:paraId="5C9B1D42">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0D7AB5A2">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DDE7E45">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（加盖CA电子公章）</w:t>
      </w:r>
    </w:p>
    <w:p w14:paraId="345426E8">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56EE3ECC">
      <w:pPr>
        <w:spacing w:line="440" w:lineRule="exact"/>
        <w:jc w:val="center"/>
        <w:rPr>
          <w:rFonts w:hint="eastAsia" w:ascii="宋体" w:hAnsi="宋体"/>
          <w:b/>
          <w:bCs/>
          <w:color w:val="auto"/>
          <w:sz w:val="32"/>
          <w:szCs w:val="32"/>
          <w:highlight w:val="none"/>
        </w:rPr>
      </w:pPr>
    </w:p>
    <w:p w14:paraId="36902748">
      <w:pPr>
        <w:spacing w:line="440" w:lineRule="exact"/>
        <w:rPr>
          <w:rFonts w:ascii="宋体" w:hAnsi="宋体"/>
          <w:color w:val="auto"/>
          <w:highlight w:val="none"/>
        </w:rPr>
      </w:pPr>
    </w:p>
    <w:p w14:paraId="0A7EA8E5">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p>
    <w:p w14:paraId="08092C3D">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投标文件目录</w:t>
      </w:r>
    </w:p>
    <w:p w14:paraId="420C42DA">
      <w:pPr>
        <w:spacing w:line="440" w:lineRule="exact"/>
        <w:jc w:val="center"/>
        <w:rPr>
          <w:rFonts w:hint="eastAsia" w:ascii="宋体" w:hAnsi="宋体"/>
          <w:b/>
          <w:bCs/>
          <w:color w:val="auto"/>
          <w:sz w:val="32"/>
          <w:szCs w:val="32"/>
          <w:highlight w:val="none"/>
        </w:rPr>
      </w:pPr>
    </w:p>
    <w:p w14:paraId="22506980">
      <w:pPr>
        <w:spacing w:line="360" w:lineRule="auto"/>
        <w:ind w:left="480"/>
        <w:rPr>
          <w:rFonts w:hint="eastAsia" w:ascii="宋体" w:hAnsi="宋体"/>
          <w:iCs/>
          <w:color w:val="auto"/>
          <w:sz w:val="24"/>
          <w:highlight w:val="none"/>
        </w:rPr>
      </w:pPr>
      <w:r>
        <w:rPr>
          <w:rFonts w:hint="eastAsia" w:ascii="宋体" w:hAnsi="宋体"/>
          <w:iCs/>
          <w:color w:val="auto"/>
          <w:sz w:val="24"/>
          <w:highlight w:val="none"/>
        </w:rPr>
        <w:t>一、法人或者其他组织的营业执照等证明文件，自然人的身份证明</w:t>
      </w:r>
    </w:p>
    <w:p w14:paraId="0F1CF9EB">
      <w:pPr>
        <w:spacing w:line="360" w:lineRule="auto"/>
        <w:ind w:left="480"/>
        <w:rPr>
          <w:rFonts w:hint="eastAsia" w:ascii="宋体" w:hAnsi="宋体"/>
          <w:iCs/>
          <w:color w:val="auto"/>
          <w:sz w:val="24"/>
          <w:highlight w:val="none"/>
        </w:rPr>
      </w:pPr>
      <w:r>
        <w:rPr>
          <w:rFonts w:hint="eastAsia" w:ascii="宋体" w:hAnsi="宋体"/>
          <w:iCs/>
          <w:color w:val="auto"/>
          <w:sz w:val="24"/>
          <w:highlight w:val="none"/>
        </w:rPr>
        <w:t>二、具有良好的商业信誉和健全的财务会计制度</w:t>
      </w:r>
    </w:p>
    <w:p w14:paraId="1D9E1542">
      <w:pPr>
        <w:spacing w:line="360" w:lineRule="auto"/>
        <w:ind w:left="480"/>
        <w:rPr>
          <w:rFonts w:hint="eastAsia" w:ascii="宋体" w:hAnsi="宋体"/>
          <w:iCs/>
          <w:color w:val="auto"/>
          <w:sz w:val="24"/>
          <w:highlight w:val="none"/>
        </w:rPr>
      </w:pPr>
      <w:r>
        <w:rPr>
          <w:rFonts w:hint="eastAsia" w:ascii="宋体" w:hAnsi="宋体"/>
          <w:iCs/>
          <w:color w:val="auto"/>
          <w:sz w:val="24"/>
          <w:highlight w:val="none"/>
        </w:rPr>
        <w:t>三、依法缴纳税收和社会保障资金的相关材料</w:t>
      </w:r>
    </w:p>
    <w:p w14:paraId="21928889">
      <w:pPr>
        <w:spacing w:line="360" w:lineRule="auto"/>
        <w:ind w:left="480"/>
        <w:rPr>
          <w:rFonts w:hint="eastAsia" w:ascii="宋体" w:hAnsi="宋体"/>
          <w:iCs/>
          <w:color w:val="auto"/>
          <w:sz w:val="24"/>
          <w:highlight w:val="none"/>
        </w:rPr>
      </w:pPr>
      <w:r>
        <w:rPr>
          <w:rFonts w:hint="eastAsia" w:ascii="宋体" w:hAnsi="宋体"/>
          <w:iCs/>
          <w:color w:val="auto"/>
          <w:sz w:val="24"/>
          <w:highlight w:val="none"/>
        </w:rPr>
        <w:t>四、</w:t>
      </w:r>
      <w:r>
        <w:rPr>
          <w:rFonts w:hint="eastAsia" w:ascii="宋体" w:hAnsi="宋体" w:cs="宋体"/>
          <w:color w:val="auto"/>
          <w:sz w:val="24"/>
          <w:szCs w:val="24"/>
          <w:highlight w:val="none"/>
        </w:rPr>
        <w:t>具备履行合同所必需的设备和专业技术能力的书面声明及证明材料</w:t>
      </w:r>
    </w:p>
    <w:p w14:paraId="73339A76">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五、参加政府采购活动前 3 年内在经营活动中没有重大违法记录的书面声明</w:t>
      </w:r>
    </w:p>
    <w:p w14:paraId="44445250">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六、特定资格要求的证明文件</w:t>
      </w:r>
    </w:p>
    <w:p w14:paraId="27EE5E9D">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七、法人授权书</w:t>
      </w:r>
    </w:p>
    <w:p w14:paraId="2643AB53">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八、投标函</w:t>
      </w:r>
    </w:p>
    <w:p w14:paraId="52B122BF">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九、小微企业声明函</w:t>
      </w:r>
    </w:p>
    <w:p w14:paraId="0FA6AEF4">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十、残疾人福利性单位声明函</w:t>
      </w:r>
    </w:p>
    <w:p w14:paraId="5E0C2519">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十一、投标分项报价表</w:t>
      </w:r>
    </w:p>
    <w:p w14:paraId="73FB3A00">
      <w:pPr>
        <w:spacing w:line="360" w:lineRule="auto"/>
        <w:ind w:firstLine="480"/>
        <w:rPr>
          <w:rFonts w:hint="eastAsia"/>
          <w:color w:val="auto"/>
          <w:highlight w:val="none"/>
        </w:rPr>
      </w:pPr>
      <w:r>
        <w:rPr>
          <w:rFonts w:hint="eastAsia" w:ascii="宋体" w:hAnsi="宋体"/>
          <w:iCs/>
          <w:color w:val="auto"/>
          <w:sz w:val="24"/>
          <w:highlight w:val="none"/>
        </w:rPr>
        <w:t>十二、技术要求响应及偏离表</w:t>
      </w:r>
    </w:p>
    <w:p w14:paraId="058D1A1E">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十三、</w:t>
      </w:r>
      <w:r>
        <w:rPr>
          <w:rFonts w:hint="eastAsia" w:ascii="宋体" w:hAnsi="宋体" w:cs="宋体"/>
          <w:iCs/>
          <w:color w:val="auto"/>
          <w:sz w:val="24"/>
          <w:szCs w:val="21"/>
          <w:highlight w:val="none"/>
        </w:rPr>
        <w:t>商务要求响应及偏离表</w:t>
      </w:r>
    </w:p>
    <w:p w14:paraId="325AC1A5">
      <w:pPr>
        <w:spacing w:line="360" w:lineRule="auto"/>
        <w:ind w:firstLine="480"/>
        <w:rPr>
          <w:rFonts w:hint="eastAsia" w:ascii="宋体" w:hAnsi="宋体"/>
          <w:iCs/>
          <w:color w:val="auto"/>
          <w:sz w:val="24"/>
          <w:highlight w:val="none"/>
        </w:rPr>
      </w:pPr>
      <w:r>
        <w:rPr>
          <w:rFonts w:hint="eastAsia" w:ascii="宋体" w:hAnsi="宋体" w:cs="宋体"/>
          <w:iCs/>
          <w:color w:val="auto"/>
          <w:sz w:val="24"/>
          <w:szCs w:val="21"/>
          <w:highlight w:val="none"/>
        </w:rPr>
        <w:t>十四、</w:t>
      </w:r>
      <w:r>
        <w:rPr>
          <w:rFonts w:hint="eastAsia" w:ascii="宋体" w:hAnsi="宋体"/>
          <w:iCs/>
          <w:color w:val="auto"/>
          <w:sz w:val="24"/>
          <w:highlight w:val="none"/>
        </w:rPr>
        <w:t>开标一览表</w:t>
      </w:r>
    </w:p>
    <w:p w14:paraId="1D3EDA6F">
      <w:pPr>
        <w:spacing w:line="360" w:lineRule="auto"/>
        <w:ind w:firstLine="480"/>
        <w:rPr>
          <w:rFonts w:ascii="宋体" w:hAnsi="宋体"/>
          <w:iCs/>
          <w:color w:val="auto"/>
          <w:sz w:val="24"/>
          <w:highlight w:val="none"/>
        </w:rPr>
      </w:pPr>
      <w:r>
        <w:rPr>
          <w:rFonts w:hint="eastAsia" w:ascii="宋体" w:hAnsi="宋体" w:cs="宋体"/>
          <w:iCs/>
          <w:color w:val="auto"/>
          <w:sz w:val="24"/>
          <w:szCs w:val="21"/>
          <w:highlight w:val="none"/>
        </w:rPr>
        <w:t>十五</w:t>
      </w:r>
      <w:r>
        <w:rPr>
          <w:rFonts w:hint="eastAsia" w:ascii="宋体" w:hAnsi="宋体"/>
          <w:iCs/>
          <w:color w:val="auto"/>
          <w:sz w:val="24"/>
          <w:highlight w:val="none"/>
        </w:rPr>
        <w:t>、类似项目业绩一览表</w:t>
      </w:r>
    </w:p>
    <w:p w14:paraId="0003E4A3">
      <w:pPr>
        <w:spacing w:line="360" w:lineRule="auto"/>
        <w:ind w:firstLine="480"/>
        <w:rPr>
          <w:rFonts w:hint="eastAsia" w:ascii="宋体" w:hAnsi="宋体"/>
          <w:iCs/>
          <w:color w:val="auto"/>
          <w:sz w:val="24"/>
          <w:highlight w:val="none"/>
        </w:rPr>
      </w:pPr>
      <w:r>
        <w:rPr>
          <w:rFonts w:hint="eastAsia" w:ascii="宋体" w:hAnsi="宋体"/>
          <w:iCs/>
          <w:color w:val="auto"/>
          <w:sz w:val="24"/>
          <w:highlight w:val="none"/>
        </w:rPr>
        <w:t>十六、项目团队人员一览表</w:t>
      </w:r>
    </w:p>
    <w:p w14:paraId="0835E8FE">
      <w:pPr>
        <w:spacing w:line="360" w:lineRule="auto"/>
        <w:ind w:firstLine="480"/>
        <w:rPr>
          <w:rFonts w:hint="eastAsia" w:ascii="宋体" w:hAnsi="宋体"/>
          <w:iCs/>
          <w:color w:val="auto"/>
          <w:sz w:val="24"/>
          <w:highlight w:val="none"/>
        </w:rPr>
      </w:pPr>
    </w:p>
    <w:p w14:paraId="1BBF4D91">
      <w:pPr>
        <w:spacing w:line="440" w:lineRule="exact"/>
        <w:ind w:firstLine="480"/>
        <w:rPr>
          <w:rFonts w:hint="eastAsia" w:ascii="宋体" w:hAnsi="宋体"/>
          <w:color w:val="auto"/>
          <w:sz w:val="24"/>
          <w:highlight w:val="none"/>
        </w:rPr>
      </w:pPr>
    </w:p>
    <w:p w14:paraId="0BB6EC62">
      <w:pPr>
        <w:spacing w:line="440" w:lineRule="exact"/>
        <w:ind w:firstLine="480"/>
        <w:rPr>
          <w:rFonts w:ascii="宋体" w:hAnsi="宋体"/>
          <w:color w:val="auto"/>
          <w:sz w:val="24"/>
          <w:highlight w:val="none"/>
        </w:rPr>
      </w:pPr>
    </w:p>
    <w:p w14:paraId="28CB9542">
      <w:pPr>
        <w:spacing w:line="440" w:lineRule="exact"/>
        <w:ind w:firstLine="480"/>
        <w:rPr>
          <w:rFonts w:ascii="宋体" w:hAnsi="宋体"/>
          <w:color w:val="auto"/>
          <w:sz w:val="24"/>
          <w:highlight w:val="none"/>
        </w:rPr>
      </w:pPr>
    </w:p>
    <w:p w14:paraId="541F735A">
      <w:pPr>
        <w:spacing w:line="440" w:lineRule="exact"/>
        <w:ind w:firstLine="480"/>
        <w:rPr>
          <w:rFonts w:ascii="宋体" w:hAnsi="宋体"/>
          <w:color w:val="auto"/>
          <w:sz w:val="24"/>
          <w:highlight w:val="none"/>
        </w:rPr>
      </w:pPr>
    </w:p>
    <w:p w14:paraId="1D083D61">
      <w:pPr>
        <w:spacing w:line="440" w:lineRule="exact"/>
        <w:ind w:firstLine="480"/>
        <w:rPr>
          <w:rFonts w:ascii="宋体" w:hAnsi="宋体"/>
          <w:color w:val="auto"/>
          <w:sz w:val="24"/>
          <w:highlight w:val="none"/>
        </w:rPr>
      </w:pPr>
    </w:p>
    <w:p w14:paraId="32D38BD9">
      <w:pPr>
        <w:spacing w:line="440" w:lineRule="exact"/>
        <w:ind w:firstLine="480"/>
        <w:rPr>
          <w:rFonts w:ascii="宋体" w:hAnsi="宋体"/>
          <w:color w:val="auto"/>
          <w:sz w:val="24"/>
          <w:highlight w:val="none"/>
        </w:rPr>
      </w:pPr>
    </w:p>
    <w:p w14:paraId="4AFC2FC2">
      <w:pPr>
        <w:spacing w:line="360" w:lineRule="auto"/>
        <w:rPr>
          <w:rFonts w:hint="eastAsia" w:ascii="宋体" w:hAnsi="宋体"/>
          <w:iCs/>
          <w:color w:val="auto"/>
          <w:sz w:val="24"/>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一、法人或者其他组织的营业执照等证明文件，自然人的身份证明</w:t>
      </w:r>
    </w:p>
    <w:p w14:paraId="0B77800D">
      <w:pPr>
        <w:spacing w:line="440" w:lineRule="exact"/>
        <w:ind w:firstLine="480"/>
        <w:rPr>
          <w:rFonts w:ascii="宋体" w:hAnsi="宋体"/>
          <w:color w:val="auto"/>
          <w:sz w:val="24"/>
          <w:highlight w:val="none"/>
        </w:rPr>
      </w:pPr>
    </w:p>
    <w:p w14:paraId="10B7F1FA">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二、具有良好的商业信誉和健全的财务会计制度</w:t>
      </w:r>
    </w:p>
    <w:p w14:paraId="567FCF8A">
      <w:pPr>
        <w:spacing w:line="440" w:lineRule="exact"/>
        <w:ind w:firstLine="480"/>
        <w:rPr>
          <w:rFonts w:ascii="宋体" w:hAnsi="宋体"/>
          <w:bCs/>
          <w:color w:val="auto"/>
          <w:sz w:val="24"/>
          <w:highlight w:val="none"/>
        </w:rPr>
      </w:pPr>
      <w:r>
        <w:rPr>
          <w:rFonts w:hint="eastAsia" w:ascii="宋体" w:hAnsi="宋体"/>
          <w:bCs/>
          <w:color w:val="auto"/>
          <w:sz w:val="24"/>
          <w:highlight w:val="none"/>
        </w:rPr>
        <w:t>根据连财购〔2023〕4号、连财购</w:t>
      </w:r>
      <w:r>
        <w:rPr>
          <w:rFonts w:hint="eastAsia" w:ascii="宋体" w:hAnsi="宋体"/>
          <w:bCs/>
          <w:color w:val="auto"/>
          <w:sz w:val="24"/>
          <w:highlight w:val="none"/>
          <w:lang w:eastAsia="zh-CN"/>
        </w:rPr>
        <w:t>〔2023〕9号</w:t>
      </w:r>
      <w:r>
        <w:rPr>
          <w:rFonts w:hint="eastAsia" w:ascii="宋体" w:hAnsi="宋体"/>
          <w:bCs/>
          <w:color w:val="auto"/>
          <w:sz w:val="24"/>
          <w:highlight w:val="none"/>
        </w:rPr>
        <w:t>文件精神，可以提供《财务状况报告及税收、社会保障资金缴纳情况承诺函》。</w:t>
      </w:r>
    </w:p>
    <w:p w14:paraId="792F8788">
      <w:pPr>
        <w:rPr>
          <w:rFonts w:hint="eastAsia" w:ascii="黑体" w:hAnsi="黑体" w:eastAsia="黑体"/>
          <w:i/>
          <w:color w:val="auto"/>
          <w:sz w:val="32"/>
          <w:szCs w:val="32"/>
          <w:highlight w:val="none"/>
          <w:u w:val="single"/>
        </w:rPr>
      </w:pPr>
    </w:p>
    <w:p w14:paraId="13E3CE1C">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三、依法缴纳税收和社会保障资金的相关材料</w:t>
      </w:r>
    </w:p>
    <w:bookmarkEnd w:id="251"/>
    <w:bookmarkEnd w:id="252"/>
    <w:bookmarkEnd w:id="253"/>
    <w:p w14:paraId="18BFFC9D">
      <w:pPr>
        <w:ind w:firstLine="480"/>
        <w:rPr>
          <w:rFonts w:hint="eastAsia" w:ascii="宋体" w:hAnsi="宋体"/>
          <w:bCs/>
          <w:color w:val="auto"/>
          <w:sz w:val="24"/>
          <w:highlight w:val="none"/>
        </w:rPr>
      </w:pPr>
      <w:bookmarkStart w:id="254" w:name="_Toc120614284"/>
      <w:r>
        <w:rPr>
          <w:rFonts w:hint="eastAsia" w:ascii="宋体" w:hAnsi="宋体"/>
          <w:bCs/>
          <w:color w:val="auto"/>
          <w:sz w:val="24"/>
          <w:highlight w:val="none"/>
        </w:rPr>
        <w:t>根据连财购〔2023〕4号、连财购</w:t>
      </w:r>
      <w:r>
        <w:rPr>
          <w:rFonts w:hint="eastAsia" w:ascii="宋体" w:hAnsi="宋体"/>
          <w:bCs/>
          <w:color w:val="auto"/>
          <w:sz w:val="24"/>
          <w:highlight w:val="none"/>
          <w:lang w:eastAsia="zh-CN"/>
        </w:rPr>
        <w:t>〔2023〕9号</w:t>
      </w:r>
      <w:r>
        <w:rPr>
          <w:rFonts w:hint="eastAsia" w:ascii="宋体" w:hAnsi="宋体"/>
          <w:bCs/>
          <w:color w:val="auto"/>
          <w:sz w:val="24"/>
          <w:highlight w:val="none"/>
        </w:rPr>
        <w:t>文件精神，可以提供《财务状况报告及税收、社会保障资金缴纳情况承诺函》。</w:t>
      </w:r>
    </w:p>
    <w:p w14:paraId="099D3676">
      <w:pPr>
        <w:rPr>
          <w:rFonts w:hint="eastAsia" w:ascii="黑体" w:hAnsi="黑体" w:eastAsia="黑体"/>
          <w:i/>
          <w:color w:val="auto"/>
          <w:sz w:val="32"/>
          <w:szCs w:val="32"/>
          <w:highlight w:val="none"/>
          <w:u w:val="single"/>
        </w:rPr>
      </w:pPr>
    </w:p>
    <w:p w14:paraId="471F6E64">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四、具备履行合同所必需的设备和专业技术能力的书面声明及证明材料</w:t>
      </w:r>
    </w:p>
    <w:p w14:paraId="5C3B746D">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360097F3">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r>
        <w:rPr>
          <w:rFonts w:hint="eastAsia" w:ascii="宋体" w:hAnsi="宋体" w:cs="宋体"/>
          <w:bCs/>
          <w:color w:val="auto"/>
          <w:sz w:val="24"/>
          <w:szCs w:val="21"/>
          <w:highlight w:val="none"/>
        </w:rPr>
        <w:t>（须附证明材料）</w:t>
      </w:r>
    </w:p>
    <w:p w14:paraId="32FE9A63">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r>
        <w:rPr>
          <w:rFonts w:hint="eastAsia" w:ascii="宋体" w:hAnsi="宋体" w:cs="宋体"/>
          <w:bCs/>
          <w:color w:val="auto"/>
          <w:sz w:val="24"/>
          <w:szCs w:val="21"/>
          <w:highlight w:val="none"/>
        </w:rPr>
        <w:t>（须附证明材料）</w:t>
      </w:r>
    </w:p>
    <w:p w14:paraId="4E5511A8">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p>
    <w:p w14:paraId="67F94CF5">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lang w:eastAsia="zh-CN"/>
        </w:rPr>
        <w:t>供应商</w:t>
      </w:r>
      <w:r>
        <w:rPr>
          <w:rFonts w:hint="eastAsia" w:ascii="宋体" w:hAnsi="宋体"/>
          <w:bCs/>
          <w:color w:val="auto"/>
          <w:sz w:val="24"/>
          <w:highlight w:val="none"/>
        </w:rPr>
        <w:t>（盖章）：</w:t>
      </w:r>
    </w:p>
    <w:p w14:paraId="3A87235B">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法定代表人或委托代理人（签字或盖章）：</w:t>
      </w:r>
    </w:p>
    <w:p w14:paraId="6B30D535">
      <w:pPr>
        <w:pStyle w:val="188"/>
        <w:ind w:firstLine="480"/>
        <w:rPr>
          <w:rFonts w:hint="eastAsia" w:ascii="宋体" w:hAnsi="宋体"/>
          <w:bCs/>
          <w:color w:val="auto"/>
          <w:sz w:val="24"/>
          <w:highlight w:val="none"/>
        </w:rPr>
      </w:pPr>
      <w:r>
        <w:rPr>
          <w:rFonts w:hint="eastAsia" w:ascii="宋体" w:hAnsi="宋体"/>
          <w:bCs/>
          <w:color w:val="auto"/>
          <w:sz w:val="24"/>
          <w:highlight w:val="none"/>
        </w:rPr>
        <w:t>日期：    年     月     日</w:t>
      </w:r>
    </w:p>
    <w:p w14:paraId="5DA3E77A">
      <w:pPr>
        <w:pStyle w:val="188"/>
        <w:ind w:firstLine="482"/>
        <w:rPr>
          <w:rFonts w:hint="eastAsia" w:ascii="宋体" w:hAnsi="宋体"/>
          <w:b/>
          <w:color w:val="auto"/>
          <w:sz w:val="24"/>
          <w:highlight w:val="none"/>
        </w:rPr>
      </w:pPr>
    </w:p>
    <w:p w14:paraId="7F5685B3">
      <w:pPr>
        <w:pStyle w:val="188"/>
        <w:ind w:firstLine="482"/>
        <w:rPr>
          <w:rFonts w:hint="eastAsia" w:ascii="宋体" w:hAnsi="宋体"/>
          <w:b/>
          <w:color w:val="auto"/>
          <w:sz w:val="24"/>
          <w:highlight w:val="none"/>
        </w:rPr>
      </w:pPr>
      <w:r>
        <w:rPr>
          <w:rFonts w:hint="eastAsia" w:ascii="宋体" w:hAnsi="宋体"/>
          <w:b/>
          <w:color w:val="auto"/>
          <w:sz w:val="24"/>
          <w:highlight w:val="none"/>
        </w:rPr>
        <w:t>附主要设备和主要专业技术能力的证明材料如下：</w:t>
      </w:r>
    </w:p>
    <w:p w14:paraId="65B0E170">
      <w:pPr>
        <w:spacing w:line="360" w:lineRule="auto"/>
        <w:ind w:firstLine="480"/>
        <w:rPr>
          <w:rFonts w:hint="eastAsia" w:ascii="宋体" w:hAnsi="宋体"/>
          <w:iCs/>
          <w:color w:val="auto"/>
          <w:sz w:val="24"/>
          <w:highlight w:val="none"/>
        </w:rPr>
      </w:pPr>
    </w:p>
    <w:p w14:paraId="5747B5CF">
      <w:pPr>
        <w:pStyle w:val="188"/>
        <w:ind w:firstLine="482"/>
        <w:rPr>
          <w:rFonts w:hint="eastAsia" w:ascii="宋体" w:hAnsi="宋体"/>
          <w:b/>
          <w:color w:val="auto"/>
          <w:sz w:val="24"/>
          <w:highlight w:val="none"/>
        </w:rPr>
      </w:pPr>
    </w:p>
    <w:p w14:paraId="14707334">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五、参加政府采购活动前 3 年内在经营活动中没有重大违法记录的书面声明</w:t>
      </w:r>
    </w:p>
    <w:p w14:paraId="7756D147">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193ED4CE">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21456BE6">
      <w:pPr>
        <w:spacing w:line="460" w:lineRule="exact"/>
        <w:ind w:firstLine="481"/>
        <w:rPr>
          <w:rFonts w:hint="eastAsia" w:ascii="宋体" w:hAnsi="宋体"/>
          <w:bCs/>
          <w:color w:val="auto"/>
          <w:sz w:val="24"/>
          <w:highlight w:val="none"/>
        </w:rPr>
      </w:pPr>
    </w:p>
    <w:p w14:paraId="3DEDE72C">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lang w:eastAsia="zh-CN"/>
        </w:rPr>
        <w:t>供应商</w:t>
      </w:r>
      <w:r>
        <w:rPr>
          <w:rFonts w:hint="eastAsia" w:ascii="宋体" w:hAnsi="宋体"/>
          <w:bCs/>
          <w:color w:val="auto"/>
          <w:sz w:val="24"/>
          <w:highlight w:val="none"/>
        </w:rPr>
        <w:t>（盖章）：</w:t>
      </w:r>
    </w:p>
    <w:p w14:paraId="72020F59">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法定代表人或委托代理人（签字或盖章）：</w:t>
      </w:r>
    </w:p>
    <w:p w14:paraId="09FF1397">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日期：    年     月     日</w:t>
      </w:r>
    </w:p>
    <w:p w14:paraId="6C2331C0">
      <w:pPr>
        <w:rPr>
          <w:rFonts w:hint="eastAsia" w:ascii="黑体" w:hAnsi="黑体" w:eastAsia="黑体"/>
          <w:i/>
          <w:color w:val="auto"/>
          <w:sz w:val="32"/>
          <w:szCs w:val="32"/>
          <w:highlight w:val="none"/>
          <w:u w:val="single"/>
        </w:rPr>
      </w:pPr>
    </w:p>
    <w:p w14:paraId="3E317853">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六、特定资格要求的证明文件</w:t>
      </w:r>
    </w:p>
    <w:p w14:paraId="3894F53A">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w:t>
      </w:r>
    </w:p>
    <w:p w14:paraId="4A76C449">
      <w:pPr>
        <w:spacing w:line="360" w:lineRule="auto"/>
        <w:ind w:firstLine="480"/>
        <w:rPr>
          <w:rFonts w:hint="eastAsia" w:ascii="宋体" w:hAnsi="宋体"/>
          <w:iCs/>
          <w:color w:val="auto"/>
          <w:sz w:val="24"/>
          <w:highlight w:val="none"/>
        </w:rPr>
      </w:pPr>
    </w:p>
    <w:p w14:paraId="534EA521">
      <w:pPr>
        <w:jc w:val="center"/>
        <w:rPr>
          <w:rFonts w:hint="eastAsia"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七、法人授权书</w:t>
      </w:r>
    </w:p>
    <w:p w14:paraId="2BF49EF5">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致：</w:t>
      </w:r>
    </w:p>
    <w:p w14:paraId="14F582CA">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本人</w:t>
      </w:r>
      <w:r>
        <w:rPr>
          <w:rFonts w:hint="eastAsia" w:ascii="宋体" w:hAnsi="宋体"/>
          <w:bCs/>
          <w:color w:val="auto"/>
          <w:sz w:val="24"/>
          <w:highlight w:val="none"/>
          <w:u w:val="single"/>
        </w:rPr>
        <w:t xml:space="preserve">           </w:t>
      </w:r>
      <w:r>
        <w:rPr>
          <w:rFonts w:hint="eastAsia" w:ascii="宋体" w:hAnsi="宋体"/>
          <w:bCs/>
          <w:color w:val="auto"/>
          <w:sz w:val="24"/>
          <w:highlight w:val="none"/>
        </w:rPr>
        <w:t>（姓名）系</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r>
        <w:rPr>
          <w:rFonts w:hint="eastAsia" w:ascii="宋体" w:hAnsi="宋体"/>
          <w:bCs/>
          <w:color w:val="auto"/>
          <w:sz w:val="24"/>
          <w:highlight w:val="none"/>
          <w:lang w:eastAsia="zh-CN"/>
        </w:rPr>
        <w:t>供应商</w:t>
      </w:r>
      <w:r>
        <w:rPr>
          <w:rFonts w:hint="eastAsia" w:ascii="宋体" w:hAnsi="宋体"/>
          <w:bCs/>
          <w:color w:val="auto"/>
          <w:sz w:val="24"/>
          <w:highlight w:val="none"/>
        </w:rPr>
        <w:t>名称）的法定代表人（单位负责人），现委托</w:t>
      </w:r>
      <w:r>
        <w:rPr>
          <w:rFonts w:hint="eastAsia" w:ascii="宋体" w:hAnsi="宋体"/>
          <w:bCs/>
          <w:color w:val="auto"/>
          <w:sz w:val="24"/>
          <w:highlight w:val="none"/>
          <w:u w:val="single"/>
        </w:rPr>
        <w:t xml:space="preserve">             </w:t>
      </w:r>
      <w:r>
        <w:rPr>
          <w:rFonts w:hint="eastAsia" w:ascii="宋体" w:hAnsi="宋体"/>
          <w:bCs/>
          <w:color w:val="auto"/>
          <w:sz w:val="24"/>
          <w:highlight w:val="none"/>
        </w:rPr>
        <w:t>（姓名）为我方代理人。代理人根据授权，以我方名义签署、澄清确认、递交、撤回、修改</w:t>
      </w:r>
      <w:r>
        <w:rPr>
          <w:rFonts w:hint="eastAsia" w:ascii="宋体" w:hAnsi="宋体"/>
          <w:bCs/>
          <w:color w:val="auto"/>
          <w:sz w:val="24"/>
          <w:highlight w:val="none"/>
          <w:u w:val="single"/>
        </w:rPr>
        <w:t xml:space="preserve">               </w:t>
      </w:r>
      <w:r>
        <w:rPr>
          <w:rFonts w:hint="eastAsia" w:ascii="宋体" w:hAnsi="宋体"/>
          <w:bCs/>
          <w:color w:val="auto"/>
          <w:sz w:val="24"/>
          <w:highlight w:val="none"/>
        </w:rPr>
        <w:t>项目（分包号：</w:t>
      </w:r>
      <w:r>
        <w:rPr>
          <w:rFonts w:hint="eastAsia" w:ascii="宋体" w:hAnsi="宋体"/>
          <w:bCs/>
          <w:color w:val="auto"/>
          <w:sz w:val="24"/>
          <w:highlight w:val="none"/>
          <w:u w:val="single"/>
        </w:rPr>
        <w:t xml:space="preserve">               </w:t>
      </w:r>
      <w:r>
        <w:rPr>
          <w:rFonts w:hint="eastAsia" w:ascii="宋体" w:hAnsi="宋体"/>
          <w:bCs/>
          <w:color w:val="auto"/>
          <w:sz w:val="24"/>
          <w:highlight w:val="none"/>
        </w:rPr>
        <w:t>）投标文件和处理有关事宜，其法律后果由我方承担。</w:t>
      </w:r>
    </w:p>
    <w:p w14:paraId="22398759">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委托期限：自本授权委托书签署之日起至投标有效期届满之日止。</w:t>
      </w:r>
    </w:p>
    <w:p w14:paraId="69338C52">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代理人无转委托权。</w:t>
      </w:r>
    </w:p>
    <w:p w14:paraId="336F3669">
      <w:pPr>
        <w:spacing w:line="460" w:lineRule="exact"/>
        <w:ind w:firstLine="481"/>
        <w:rPr>
          <w:rFonts w:hint="eastAsia" w:ascii="宋体" w:hAnsi="宋体"/>
          <w:bCs/>
          <w:color w:val="auto"/>
          <w:sz w:val="24"/>
          <w:highlight w:val="none"/>
        </w:rPr>
      </w:pPr>
    </w:p>
    <w:p w14:paraId="57931D8E">
      <w:pPr>
        <w:spacing w:line="460" w:lineRule="exact"/>
        <w:ind w:firstLine="481"/>
        <w:rPr>
          <w:rFonts w:ascii="宋体" w:hAnsi="宋体"/>
          <w:bCs/>
          <w:color w:val="auto"/>
          <w:sz w:val="24"/>
          <w:highlight w:val="none"/>
          <w:u w:val="single"/>
        </w:rPr>
      </w:pPr>
      <w:r>
        <w:rPr>
          <w:rFonts w:hint="eastAsia" w:ascii="宋体" w:hAnsi="宋体"/>
          <w:bCs/>
          <w:color w:val="auto"/>
          <w:sz w:val="24"/>
          <w:highlight w:val="none"/>
          <w:lang w:eastAsia="zh-CN"/>
        </w:rPr>
        <w:t>供应商</w:t>
      </w:r>
      <w:r>
        <w:rPr>
          <w:rFonts w:hint="eastAsia" w:ascii="宋体" w:hAnsi="宋体"/>
          <w:bCs/>
          <w:color w:val="auto"/>
          <w:sz w:val="24"/>
          <w:highlight w:val="none"/>
        </w:rPr>
        <w:t>名称（加盖公章）</w:t>
      </w:r>
      <w:r>
        <w:rPr>
          <w:rFonts w:hint="eastAsia" w:ascii="宋体" w:hAnsi="宋体"/>
          <w:bCs/>
          <w:color w:val="auto"/>
          <w:sz w:val="24"/>
          <w:highlight w:val="none"/>
          <w:lang w:val="zh-CN"/>
        </w:rPr>
        <w:t>：</w:t>
      </w:r>
      <w:r>
        <w:rPr>
          <w:rFonts w:hint="eastAsia" w:ascii="宋体" w:hAnsi="宋体"/>
          <w:bCs/>
          <w:color w:val="auto"/>
          <w:sz w:val="24"/>
          <w:highlight w:val="none"/>
          <w:u w:val="single"/>
        </w:rPr>
        <w:t xml:space="preserve">           </w:t>
      </w:r>
    </w:p>
    <w:p w14:paraId="750ABBE1">
      <w:pPr>
        <w:spacing w:line="460" w:lineRule="exact"/>
        <w:ind w:firstLine="481"/>
        <w:rPr>
          <w:rFonts w:ascii="宋体" w:hAnsi="宋体"/>
          <w:bCs/>
          <w:color w:val="auto"/>
          <w:sz w:val="24"/>
          <w:highlight w:val="none"/>
          <w:u w:val="single"/>
        </w:rPr>
      </w:pPr>
      <w:r>
        <w:rPr>
          <w:rFonts w:hint="eastAsia" w:ascii="宋体" w:hAnsi="宋体"/>
          <w:bCs/>
          <w:color w:val="auto"/>
          <w:sz w:val="24"/>
          <w:highlight w:val="none"/>
        </w:rPr>
        <w:t>法定代表人（单位负责人）（签字</w:t>
      </w:r>
      <w:r>
        <w:rPr>
          <w:rFonts w:hint="eastAsia" w:ascii="宋体" w:hAnsi="宋体"/>
          <w:bCs/>
          <w:color w:val="auto"/>
          <w:sz w:val="24"/>
          <w:highlight w:val="none"/>
          <w:lang w:val="en-US" w:eastAsia="zh-CN"/>
        </w:rPr>
        <w:t>或</w:t>
      </w:r>
      <w:r>
        <w:rPr>
          <w:rFonts w:hint="eastAsia" w:ascii="宋体" w:hAnsi="宋体"/>
          <w:bCs/>
          <w:color w:val="auto"/>
          <w:sz w:val="24"/>
          <w:highlight w:val="none"/>
        </w:rPr>
        <w:t>签章或印鉴）：</w:t>
      </w:r>
      <w:r>
        <w:rPr>
          <w:rFonts w:hint="eastAsia" w:ascii="宋体" w:hAnsi="宋体"/>
          <w:bCs/>
          <w:color w:val="auto"/>
          <w:sz w:val="24"/>
          <w:highlight w:val="none"/>
          <w:u w:val="single"/>
        </w:rPr>
        <w:t xml:space="preserve">             </w:t>
      </w:r>
    </w:p>
    <w:p w14:paraId="33B973B8">
      <w:pPr>
        <w:spacing w:line="460" w:lineRule="exact"/>
        <w:ind w:firstLine="481"/>
        <w:rPr>
          <w:rFonts w:hint="eastAsia" w:ascii="宋体" w:hAnsi="宋体"/>
          <w:bCs/>
          <w:color w:val="auto"/>
          <w:sz w:val="24"/>
          <w:highlight w:val="none"/>
          <w:lang w:val="zh-CN"/>
        </w:rPr>
      </w:pPr>
      <w:r>
        <w:rPr>
          <w:rFonts w:hint="eastAsia" w:ascii="宋体" w:hAnsi="宋体"/>
          <w:bCs/>
          <w:color w:val="auto"/>
          <w:sz w:val="24"/>
          <w:highlight w:val="none"/>
        </w:rPr>
        <w:t>委托代理人（签字/签章）：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w:t>
      </w:r>
    </w:p>
    <w:p w14:paraId="3494544E">
      <w:pPr>
        <w:spacing w:line="460" w:lineRule="exact"/>
        <w:ind w:firstLine="481"/>
        <w:rPr>
          <w:rFonts w:hint="eastAsia" w:ascii="宋体" w:hAnsi="宋体"/>
          <w:bCs/>
          <w:color w:val="auto"/>
          <w:sz w:val="24"/>
          <w:highlight w:val="none"/>
          <w:lang w:val="zh-CN"/>
        </w:rPr>
      </w:pPr>
      <w:r>
        <w:rPr>
          <w:rFonts w:hint="eastAsia" w:ascii="宋体" w:hAnsi="宋体"/>
          <w:bCs/>
          <w:color w:val="auto"/>
          <w:sz w:val="24"/>
          <w:highlight w:val="none"/>
        </w:rPr>
        <w:t>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1E22CC5E">
      <w:pPr>
        <w:spacing w:line="460" w:lineRule="exact"/>
        <w:ind w:firstLine="481"/>
        <w:rPr>
          <w:rFonts w:hint="eastAsia" w:ascii="宋体" w:hAnsi="宋体"/>
          <w:bCs/>
          <w:color w:val="auto"/>
          <w:sz w:val="24"/>
          <w:highlight w:val="none"/>
        </w:rPr>
      </w:pPr>
    </w:p>
    <w:p w14:paraId="2D5F76E9">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法定代表人（单位负责人）有效期内的身份证正反面电子件：</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07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7ED4091">
            <w:pPr>
              <w:spacing w:line="460" w:lineRule="exact"/>
              <w:ind w:firstLine="481"/>
              <w:rPr>
                <w:rFonts w:hint="eastAsia" w:ascii="宋体" w:hAnsi="宋体"/>
                <w:bCs/>
                <w:color w:val="auto"/>
                <w:sz w:val="24"/>
                <w:highlight w:val="none"/>
              </w:rPr>
            </w:pPr>
          </w:p>
          <w:p w14:paraId="5D571732">
            <w:pPr>
              <w:spacing w:line="460" w:lineRule="exact"/>
              <w:ind w:firstLine="481"/>
              <w:rPr>
                <w:rFonts w:hint="eastAsia" w:ascii="宋体" w:hAnsi="宋体"/>
                <w:bCs/>
                <w:color w:val="auto"/>
                <w:sz w:val="24"/>
                <w:highlight w:val="none"/>
              </w:rPr>
            </w:pPr>
          </w:p>
          <w:p w14:paraId="2705CCB0">
            <w:pPr>
              <w:spacing w:line="460" w:lineRule="exact"/>
              <w:ind w:firstLine="481"/>
              <w:rPr>
                <w:rFonts w:hint="eastAsia" w:ascii="宋体" w:hAnsi="宋体"/>
                <w:bCs/>
                <w:color w:val="auto"/>
                <w:sz w:val="24"/>
                <w:highlight w:val="none"/>
              </w:rPr>
            </w:pPr>
          </w:p>
        </w:tc>
        <w:tc>
          <w:tcPr>
            <w:tcW w:w="4536" w:type="dxa"/>
            <w:noWrap w:val="0"/>
            <w:vAlign w:val="top"/>
          </w:tcPr>
          <w:p w14:paraId="4152A28A">
            <w:pPr>
              <w:spacing w:line="460" w:lineRule="exact"/>
              <w:ind w:firstLine="481"/>
              <w:rPr>
                <w:rFonts w:hint="eastAsia" w:ascii="宋体" w:hAnsi="宋体"/>
                <w:bCs/>
                <w:color w:val="auto"/>
                <w:sz w:val="24"/>
                <w:highlight w:val="none"/>
              </w:rPr>
            </w:pPr>
          </w:p>
          <w:p w14:paraId="52101533">
            <w:pPr>
              <w:spacing w:line="460" w:lineRule="exact"/>
              <w:ind w:firstLine="481"/>
              <w:rPr>
                <w:rFonts w:hint="eastAsia" w:ascii="宋体" w:hAnsi="宋体"/>
                <w:bCs/>
                <w:color w:val="auto"/>
                <w:sz w:val="24"/>
                <w:highlight w:val="none"/>
              </w:rPr>
            </w:pPr>
          </w:p>
          <w:p w14:paraId="417E5348">
            <w:pPr>
              <w:spacing w:line="460" w:lineRule="exact"/>
              <w:ind w:firstLine="481"/>
              <w:rPr>
                <w:rFonts w:hint="eastAsia" w:ascii="宋体" w:hAnsi="宋体"/>
                <w:bCs/>
                <w:color w:val="auto"/>
                <w:sz w:val="24"/>
                <w:highlight w:val="none"/>
              </w:rPr>
            </w:pPr>
          </w:p>
        </w:tc>
      </w:tr>
    </w:tbl>
    <w:p w14:paraId="46D431D7">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委托代理人有效期内的身份证正反面电子件：</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2F6B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B026B3B">
            <w:pPr>
              <w:spacing w:line="460" w:lineRule="exact"/>
              <w:ind w:firstLine="481"/>
              <w:rPr>
                <w:rFonts w:hint="eastAsia" w:ascii="宋体" w:hAnsi="宋体"/>
                <w:bCs/>
                <w:color w:val="auto"/>
                <w:sz w:val="24"/>
                <w:highlight w:val="none"/>
              </w:rPr>
            </w:pPr>
          </w:p>
          <w:p w14:paraId="588537FC">
            <w:pPr>
              <w:spacing w:line="460" w:lineRule="exact"/>
              <w:ind w:firstLine="481"/>
              <w:rPr>
                <w:rFonts w:hint="eastAsia" w:ascii="宋体" w:hAnsi="宋体"/>
                <w:bCs/>
                <w:color w:val="auto"/>
                <w:sz w:val="24"/>
                <w:highlight w:val="none"/>
              </w:rPr>
            </w:pPr>
          </w:p>
          <w:p w14:paraId="16696DFC">
            <w:pPr>
              <w:spacing w:line="460" w:lineRule="exact"/>
              <w:ind w:firstLine="481"/>
              <w:rPr>
                <w:rFonts w:hint="eastAsia" w:ascii="宋体" w:hAnsi="宋体"/>
                <w:bCs/>
                <w:color w:val="auto"/>
                <w:sz w:val="24"/>
                <w:highlight w:val="none"/>
              </w:rPr>
            </w:pPr>
          </w:p>
        </w:tc>
        <w:tc>
          <w:tcPr>
            <w:tcW w:w="4536" w:type="dxa"/>
            <w:noWrap w:val="0"/>
            <w:vAlign w:val="top"/>
          </w:tcPr>
          <w:p w14:paraId="1CDD381F">
            <w:pPr>
              <w:spacing w:line="460" w:lineRule="exact"/>
              <w:ind w:firstLine="481"/>
              <w:rPr>
                <w:rFonts w:hint="eastAsia" w:ascii="宋体" w:hAnsi="宋体"/>
                <w:bCs/>
                <w:color w:val="auto"/>
                <w:sz w:val="24"/>
                <w:highlight w:val="none"/>
              </w:rPr>
            </w:pPr>
          </w:p>
          <w:p w14:paraId="33655415">
            <w:pPr>
              <w:spacing w:line="460" w:lineRule="exact"/>
              <w:ind w:firstLine="481"/>
              <w:rPr>
                <w:rFonts w:hint="eastAsia" w:ascii="宋体" w:hAnsi="宋体"/>
                <w:bCs/>
                <w:color w:val="auto"/>
                <w:sz w:val="24"/>
                <w:highlight w:val="none"/>
              </w:rPr>
            </w:pPr>
          </w:p>
          <w:p w14:paraId="26896241">
            <w:pPr>
              <w:spacing w:line="460" w:lineRule="exact"/>
              <w:ind w:firstLine="481"/>
              <w:rPr>
                <w:rFonts w:hint="eastAsia" w:ascii="宋体" w:hAnsi="宋体"/>
                <w:bCs/>
                <w:color w:val="auto"/>
                <w:sz w:val="24"/>
                <w:highlight w:val="none"/>
              </w:rPr>
            </w:pPr>
          </w:p>
        </w:tc>
      </w:tr>
    </w:tbl>
    <w:p w14:paraId="7C71AB63">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填报说明：</w:t>
      </w:r>
    </w:p>
    <w:p w14:paraId="64351ADD">
      <w:pPr>
        <w:spacing w:line="460" w:lineRule="exact"/>
        <w:ind w:firstLine="481"/>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1、若</w:t>
      </w:r>
      <w:r>
        <w:rPr>
          <w:rFonts w:hint="eastAsia" w:ascii="宋体" w:hAnsi="宋体" w:cs="Times New Roman"/>
          <w:bCs/>
          <w:color w:val="auto"/>
          <w:sz w:val="24"/>
          <w:highlight w:val="none"/>
          <w:lang w:eastAsia="zh-CN"/>
        </w:rPr>
        <w:t>供应商</w:t>
      </w:r>
      <w:r>
        <w:rPr>
          <w:rFonts w:hint="eastAsia" w:ascii="宋体" w:hAnsi="宋体" w:eastAsia="宋体" w:cs="Times New Roman"/>
          <w:bCs/>
          <w:color w:val="auto"/>
          <w:sz w:val="24"/>
          <w:highlight w:val="none"/>
        </w:rPr>
        <w:t>为事业单位或其他组织或分支机构（仅当招标文件注明允许分支机构投标的），则法定代表人（单位负责人）处的签署人可为单位负责人。</w:t>
      </w:r>
    </w:p>
    <w:p w14:paraId="269EA5FB">
      <w:pPr>
        <w:spacing w:line="460" w:lineRule="exact"/>
        <w:ind w:firstLine="481"/>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2、若投标文件中全部签字之处均为法定代表人（单位负责人）本人签署，则可不提供本《授权委托书》，但须提供《法定代表人（单位负责人）身份证明》。</w:t>
      </w:r>
    </w:p>
    <w:p w14:paraId="5D22B3A3">
      <w:pPr>
        <w:spacing w:line="460" w:lineRule="exact"/>
        <w:ind w:firstLine="481"/>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r>
        <w:rPr>
          <w:rFonts w:hint="eastAsia" w:ascii="宋体" w:hAnsi="宋体" w:cs="Times New Roman"/>
          <w:bCs/>
          <w:color w:val="auto"/>
          <w:sz w:val="24"/>
          <w:highlight w:val="none"/>
          <w:lang w:eastAsia="zh-CN"/>
        </w:rPr>
        <w:t>供应商</w:t>
      </w:r>
      <w:r>
        <w:rPr>
          <w:rFonts w:hint="eastAsia" w:ascii="宋体" w:hAnsi="宋体" w:eastAsia="宋体" w:cs="Times New Roman"/>
          <w:bCs/>
          <w:color w:val="auto"/>
          <w:sz w:val="24"/>
          <w:highlight w:val="none"/>
        </w:rPr>
        <w:t>为自然人的情形，可不提供本《授权委托书》。</w:t>
      </w:r>
    </w:p>
    <w:p w14:paraId="6A957D75">
      <w:pPr>
        <w:spacing w:line="460" w:lineRule="exact"/>
        <w:ind w:firstLine="481"/>
        <w:rPr>
          <w:rFonts w:hint="eastAsia"/>
          <w:color w:val="auto"/>
          <w:highlight w:val="none"/>
        </w:rPr>
      </w:pPr>
      <w:r>
        <w:rPr>
          <w:rFonts w:hint="eastAsia" w:ascii="宋体" w:hAnsi="宋体"/>
          <w:bCs/>
          <w:color w:val="auto"/>
          <w:sz w:val="24"/>
          <w:highlight w:val="none"/>
        </w:rPr>
        <w:br w:type="page" w:clear="all"/>
      </w:r>
    </w:p>
    <w:p w14:paraId="06482B59">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法定代表人（单位负责人）身份证明</w:t>
      </w:r>
    </w:p>
    <w:p w14:paraId="67EA8C40">
      <w:pPr>
        <w:spacing w:line="200" w:lineRule="exact"/>
        <w:rPr>
          <w:rFonts w:ascii="宋体" w:hAnsi="宋体"/>
          <w:color w:val="auto"/>
          <w:sz w:val="20"/>
          <w:szCs w:val="20"/>
          <w:highlight w:val="none"/>
        </w:rPr>
      </w:pPr>
    </w:p>
    <w:p w14:paraId="522B2E5C">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致：</w:t>
      </w:r>
    </w:p>
    <w:p w14:paraId="7D5EA32A">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兹证明，</w:t>
      </w:r>
    </w:p>
    <w:p w14:paraId="74FCAF7A">
      <w:pPr>
        <w:spacing w:line="460" w:lineRule="exact"/>
        <w:ind w:firstLine="481"/>
        <w:rPr>
          <w:rFonts w:ascii="宋体" w:hAnsi="宋体"/>
          <w:bCs/>
          <w:color w:val="auto"/>
          <w:sz w:val="24"/>
          <w:highlight w:val="none"/>
          <w:u w:val="single"/>
        </w:rPr>
      </w:pPr>
      <w:r>
        <w:rPr>
          <w:rFonts w:hint="eastAsia" w:ascii="宋体" w:hAnsi="宋体"/>
          <w:bCs/>
          <w:color w:val="auto"/>
          <w:sz w:val="24"/>
          <w:highlight w:val="none"/>
        </w:rPr>
        <w:t>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职务：</w:t>
      </w:r>
      <w:r>
        <w:rPr>
          <w:rFonts w:hint="eastAsia" w:ascii="宋体" w:hAnsi="宋体"/>
          <w:bCs/>
          <w:color w:val="auto"/>
          <w:sz w:val="24"/>
          <w:highlight w:val="none"/>
          <w:u w:val="single"/>
        </w:rPr>
        <w:t xml:space="preserve">          </w:t>
      </w:r>
    </w:p>
    <w:p w14:paraId="383614BA">
      <w:pPr>
        <w:spacing w:line="460" w:lineRule="exact"/>
        <w:ind w:firstLine="481"/>
        <w:rPr>
          <w:rFonts w:hint="eastAsia" w:ascii="宋体" w:hAnsi="宋体"/>
          <w:bCs/>
          <w:color w:val="auto"/>
          <w:sz w:val="24"/>
          <w:highlight w:val="none"/>
        </w:rPr>
      </w:pPr>
    </w:p>
    <w:p w14:paraId="6F44B621">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系</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r>
        <w:rPr>
          <w:rFonts w:hint="eastAsia" w:ascii="宋体" w:hAnsi="宋体"/>
          <w:bCs/>
          <w:color w:val="auto"/>
          <w:sz w:val="24"/>
          <w:highlight w:val="none"/>
          <w:lang w:eastAsia="zh-CN"/>
        </w:rPr>
        <w:t>供应商</w:t>
      </w:r>
      <w:r>
        <w:rPr>
          <w:rFonts w:hint="eastAsia" w:ascii="宋体" w:hAnsi="宋体"/>
          <w:bCs/>
          <w:color w:val="auto"/>
          <w:sz w:val="24"/>
          <w:highlight w:val="none"/>
        </w:rPr>
        <w:t>名称）的法定代表人（单位负责人）。</w:t>
      </w:r>
    </w:p>
    <w:p w14:paraId="439E6AFF">
      <w:pPr>
        <w:spacing w:line="460" w:lineRule="exact"/>
        <w:ind w:firstLine="481"/>
        <w:rPr>
          <w:rFonts w:hint="eastAsia" w:ascii="宋体" w:hAnsi="宋体"/>
          <w:bCs/>
          <w:color w:val="auto"/>
          <w:sz w:val="24"/>
          <w:highlight w:val="none"/>
        </w:rPr>
      </w:pPr>
    </w:p>
    <w:p w14:paraId="1CF00B2B">
      <w:pPr>
        <w:spacing w:line="460" w:lineRule="exact"/>
        <w:ind w:firstLine="481"/>
        <w:rPr>
          <w:rFonts w:hint="eastAsia" w:ascii="宋体" w:hAnsi="宋体"/>
          <w:bCs/>
          <w:color w:val="auto"/>
          <w:sz w:val="24"/>
          <w:highlight w:val="none"/>
        </w:rPr>
      </w:pPr>
    </w:p>
    <w:p w14:paraId="785D29D3">
      <w:pPr>
        <w:spacing w:line="460" w:lineRule="exact"/>
        <w:ind w:firstLine="481"/>
        <w:rPr>
          <w:rFonts w:hint="eastAsia" w:ascii="宋体" w:hAnsi="宋体"/>
          <w:bCs/>
          <w:color w:val="auto"/>
          <w:sz w:val="24"/>
          <w:highlight w:val="none"/>
        </w:rPr>
      </w:pPr>
    </w:p>
    <w:p w14:paraId="7D8197D3">
      <w:pPr>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附：法定代表人（单位负责人）有效期内的身份证正反面电子件。</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212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3E67864F">
            <w:pPr>
              <w:spacing w:line="460" w:lineRule="exact"/>
              <w:ind w:firstLine="481"/>
              <w:rPr>
                <w:rFonts w:hint="eastAsia" w:ascii="宋体" w:hAnsi="宋体"/>
                <w:bCs/>
                <w:color w:val="auto"/>
                <w:sz w:val="24"/>
                <w:highlight w:val="none"/>
              </w:rPr>
            </w:pPr>
          </w:p>
          <w:p w14:paraId="68C51547">
            <w:pPr>
              <w:spacing w:line="460" w:lineRule="exact"/>
              <w:ind w:firstLine="481"/>
              <w:rPr>
                <w:rFonts w:hint="eastAsia" w:ascii="宋体" w:hAnsi="宋体"/>
                <w:bCs/>
                <w:color w:val="auto"/>
                <w:sz w:val="24"/>
                <w:highlight w:val="none"/>
              </w:rPr>
            </w:pPr>
          </w:p>
          <w:p w14:paraId="5B1F722D">
            <w:pPr>
              <w:spacing w:line="460" w:lineRule="exact"/>
              <w:ind w:firstLine="481"/>
              <w:rPr>
                <w:rFonts w:hint="eastAsia" w:ascii="宋体" w:hAnsi="宋体"/>
                <w:bCs/>
                <w:color w:val="auto"/>
                <w:sz w:val="24"/>
                <w:highlight w:val="none"/>
              </w:rPr>
            </w:pPr>
          </w:p>
        </w:tc>
        <w:tc>
          <w:tcPr>
            <w:tcW w:w="4536" w:type="dxa"/>
            <w:noWrap w:val="0"/>
            <w:vAlign w:val="top"/>
          </w:tcPr>
          <w:p w14:paraId="79B8E1CB">
            <w:pPr>
              <w:spacing w:line="460" w:lineRule="exact"/>
              <w:ind w:firstLine="481"/>
              <w:rPr>
                <w:rFonts w:hint="eastAsia" w:ascii="宋体" w:hAnsi="宋体"/>
                <w:bCs/>
                <w:color w:val="auto"/>
                <w:sz w:val="24"/>
                <w:highlight w:val="none"/>
              </w:rPr>
            </w:pPr>
          </w:p>
          <w:p w14:paraId="71599D29">
            <w:pPr>
              <w:spacing w:line="460" w:lineRule="exact"/>
              <w:ind w:firstLine="481"/>
              <w:rPr>
                <w:rFonts w:hint="eastAsia" w:ascii="宋体" w:hAnsi="宋体"/>
                <w:bCs/>
                <w:color w:val="auto"/>
                <w:sz w:val="24"/>
                <w:highlight w:val="none"/>
              </w:rPr>
            </w:pPr>
          </w:p>
          <w:p w14:paraId="0C3F52B5">
            <w:pPr>
              <w:spacing w:line="460" w:lineRule="exact"/>
              <w:ind w:firstLine="481"/>
              <w:rPr>
                <w:rFonts w:hint="eastAsia" w:ascii="宋体" w:hAnsi="宋体"/>
                <w:bCs/>
                <w:color w:val="auto"/>
                <w:sz w:val="24"/>
                <w:highlight w:val="none"/>
              </w:rPr>
            </w:pPr>
          </w:p>
        </w:tc>
      </w:tr>
    </w:tbl>
    <w:p w14:paraId="73FCE62D">
      <w:pPr>
        <w:spacing w:line="460" w:lineRule="exact"/>
        <w:ind w:firstLine="481"/>
        <w:rPr>
          <w:rFonts w:hint="eastAsia" w:ascii="宋体" w:hAnsi="宋体"/>
          <w:bCs/>
          <w:color w:val="auto"/>
          <w:sz w:val="24"/>
          <w:highlight w:val="none"/>
        </w:rPr>
      </w:pPr>
    </w:p>
    <w:p w14:paraId="39C44356">
      <w:pPr>
        <w:spacing w:line="460" w:lineRule="exact"/>
        <w:ind w:firstLine="481"/>
        <w:rPr>
          <w:rFonts w:hint="eastAsia" w:ascii="宋体" w:hAnsi="宋体"/>
          <w:bCs/>
          <w:color w:val="auto"/>
          <w:sz w:val="24"/>
          <w:highlight w:val="none"/>
        </w:rPr>
      </w:pPr>
    </w:p>
    <w:p w14:paraId="64683969">
      <w:pPr>
        <w:spacing w:line="460" w:lineRule="exact"/>
        <w:ind w:firstLine="481"/>
        <w:rPr>
          <w:rFonts w:ascii="宋体" w:hAnsi="宋体"/>
          <w:bCs/>
          <w:color w:val="auto"/>
          <w:sz w:val="24"/>
          <w:highlight w:val="none"/>
          <w:u w:val="single"/>
        </w:rPr>
      </w:pPr>
      <w:r>
        <w:rPr>
          <w:rFonts w:hint="eastAsia" w:ascii="宋体" w:hAnsi="宋体"/>
          <w:bCs/>
          <w:color w:val="auto"/>
          <w:sz w:val="24"/>
          <w:highlight w:val="none"/>
          <w:lang w:eastAsia="zh-CN"/>
        </w:rPr>
        <w:t>供应商</w:t>
      </w:r>
      <w:r>
        <w:rPr>
          <w:rFonts w:hint="eastAsia" w:ascii="宋体" w:hAnsi="宋体"/>
          <w:bCs/>
          <w:color w:val="auto"/>
          <w:sz w:val="24"/>
          <w:highlight w:val="none"/>
        </w:rPr>
        <w:t>名称（加盖公章）</w:t>
      </w:r>
      <w:r>
        <w:rPr>
          <w:rFonts w:hint="eastAsia" w:ascii="宋体" w:hAnsi="宋体"/>
          <w:bCs/>
          <w:color w:val="auto"/>
          <w:sz w:val="24"/>
          <w:highlight w:val="none"/>
          <w:lang w:val="zh-CN"/>
        </w:rPr>
        <w:t>：</w:t>
      </w:r>
      <w:r>
        <w:rPr>
          <w:rFonts w:hint="eastAsia" w:ascii="宋体" w:hAnsi="宋体"/>
          <w:bCs/>
          <w:color w:val="auto"/>
          <w:sz w:val="24"/>
          <w:highlight w:val="none"/>
          <w:u w:val="single"/>
        </w:rPr>
        <w:t xml:space="preserve">                </w:t>
      </w:r>
    </w:p>
    <w:p w14:paraId="454BE52C">
      <w:pPr>
        <w:spacing w:line="460" w:lineRule="exact"/>
        <w:ind w:firstLine="481"/>
        <w:rPr>
          <w:rFonts w:ascii="宋体" w:hAnsi="宋体"/>
          <w:bCs/>
          <w:color w:val="auto"/>
          <w:sz w:val="24"/>
          <w:highlight w:val="none"/>
          <w:u w:val="single"/>
        </w:rPr>
      </w:pPr>
      <w:r>
        <w:rPr>
          <w:rFonts w:hint="eastAsia" w:ascii="宋体" w:hAnsi="宋体"/>
          <w:bCs/>
          <w:color w:val="auto"/>
          <w:sz w:val="24"/>
          <w:highlight w:val="none"/>
        </w:rPr>
        <w:t>法定代表人（单位负责人）（签字</w:t>
      </w:r>
      <w:r>
        <w:rPr>
          <w:rFonts w:hint="eastAsia" w:ascii="宋体" w:hAnsi="宋体"/>
          <w:bCs/>
          <w:color w:val="auto"/>
          <w:sz w:val="24"/>
          <w:highlight w:val="none"/>
          <w:lang w:val="en-US" w:eastAsia="zh-CN"/>
        </w:rPr>
        <w:t>或</w:t>
      </w:r>
      <w:r>
        <w:rPr>
          <w:rFonts w:hint="eastAsia" w:ascii="宋体" w:hAnsi="宋体"/>
          <w:bCs/>
          <w:color w:val="auto"/>
          <w:sz w:val="24"/>
          <w:highlight w:val="none"/>
        </w:rPr>
        <w:t>签章或印鉴）：</w:t>
      </w:r>
      <w:r>
        <w:rPr>
          <w:rFonts w:hint="eastAsia" w:ascii="宋体" w:hAnsi="宋体"/>
          <w:bCs/>
          <w:color w:val="auto"/>
          <w:sz w:val="24"/>
          <w:highlight w:val="none"/>
          <w:u w:val="single"/>
        </w:rPr>
        <w:t xml:space="preserve">           </w:t>
      </w:r>
    </w:p>
    <w:p w14:paraId="788D0170">
      <w:pPr>
        <w:spacing w:line="460" w:lineRule="exact"/>
        <w:ind w:firstLine="481"/>
        <w:rPr>
          <w:rFonts w:hint="eastAsia" w:ascii="宋体" w:hAnsi="宋体"/>
          <w:bCs/>
          <w:color w:val="auto"/>
          <w:sz w:val="24"/>
          <w:highlight w:val="none"/>
        </w:rPr>
      </w:pPr>
    </w:p>
    <w:p w14:paraId="2A29FB21">
      <w:pPr>
        <w:spacing w:line="460" w:lineRule="exact"/>
        <w:ind w:firstLine="480"/>
        <w:rPr>
          <w:rFonts w:hint="eastAsia" w:ascii="楷体" w:hAnsi="楷体" w:eastAsia="楷体"/>
          <w:color w:val="auto"/>
          <w:sz w:val="24"/>
          <w:szCs w:val="24"/>
          <w:highlight w:val="none"/>
        </w:rPr>
      </w:pPr>
      <w:r>
        <w:rPr>
          <w:rFonts w:hint="eastAsia" w:ascii="宋体" w:hAnsi="宋体"/>
          <w:bCs/>
          <w:color w:val="auto"/>
          <w:sz w:val="24"/>
          <w:highlight w:val="none"/>
        </w:rPr>
        <w:t>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58B458C5">
      <w:pPr>
        <w:spacing w:line="460" w:lineRule="exact"/>
        <w:rPr>
          <w:rFonts w:hint="eastAsia" w:ascii="宋体" w:hAnsi="宋体"/>
          <w:bCs/>
          <w:color w:val="auto"/>
          <w:sz w:val="24"/>
          <w:highlight w:val="none"/>
        </w:rPr>
      </w:pPr>
    </w:p>
    <w:p w14:paraId="1EE91975">
      <w:pPr>
        <w:spacing w:line="460" w:lineRule="exact"/>
        <w:ind w:firstLine="480"/>
        <w:rPr>
          <w:rFonts w:hint="eastAsia" w:ascii="宋体" w:hAnsi="宋体"/>
          <w:bCs/>
          <w:color w:val="auto"/>
          <w:sz w:val="24"/>
          <w:highlight w:val="none"/>
        </w:rPr>
      </w:pPr>
    </w:p>
    <w:p w14:paraId="04AED6C1">
      <w:pPr>
        <w:pStyle w:val="186"/>
        <w:ind w:firstLine="3390"/>
        <w:jc w:val="both"/>
        <w:rPr>
          <w:rFonts w:ascii="黑体" w:hAnsi="黑体" w:eastAsia="黑体"/>
          <w:bCs w:val="0"/>
          <w:i/>
          <w:color w:val="auto"/>
          <w:sz w:val="32"/>
          <w:szCs w:val="32"/>
          <w:highlight w:val="none"/>
        </w:rPr>
      </w:pPr>
      <w:r>
        <w:rPr>
          <w:rFonts w:ascii="宋体" w:hAnsi="宋体"/>
          <w:bCs w:val="0"/>
          <w:color w:val="auto"/>
          <w:sz w:val="24"/>
          <w:highlight w:val="none"/>
        </w:rPr>
        <w:br w:type="page" w:clear="all"/>
      </w:r>
      <w:bookmarkStart w:id="255" w:name="_Toc10385"/>
      <w:bookmarkStart w:id="256" w:name="_Toc27332"/>
      <w:r>
        <w:rPr>
          <w:rFonts w:hint="eastAsia" w:ascii="黑体" w:hAnsi="黑体" w:eastAsia="黑体"/>
          <w:b w:val="0"/>
          <w:bCs w:val="0"/>
          <w:iCs/>
          <w:color w:val="auto"/>
          <w:sz w:val="32"/>
          <w:szCs w:val="32"/>
          <w:highlight w:val="none"/>
          <w:u w:val="single"/>
        </w:rPr>
        <w:t>八、投标函</w:t>
      </w:r>
      <w:bookmarkEnd w:id="255"/>
      <w:bookmarkEnd w:id="256"/>
    </w:p>
    <w:p w14:paraId="22D08FF7">
      <w:pPr>
        <w:pStyle w:val="273"/>
        <w:spacing w:before="0" w:after="0" w:line="420" w:lineRule="exact"/>
        <w:ind w:firstLine="0"/>
        <w:rPr>
          <w:rFonts w:hint="eastAsia" w:ascii="宋体" w:hAnsi="宋体" w:eastAsia="宋体"/>
          <w:color w:val="auto"/>
          <w:szCs w:val="21"/>
          <w:highlight w:val="none"/>
          <w:lang w:eastAsia="zh-CN"/>
        </w:rPr>
      </w:pPr>
      <w:r>
        <w:rPr>
          <w:rFonts w:hint="eastAsia" w:ascii="宋体" w:hAnsi="宋体"/>
          <w:color w:val="auto"/>
          <w:szCs w:val="21"/>
          <w:highlight w:val="none"/>
        </w:rPr>
        <w:t>致：</w:t>
      </w:r>
      <w:r>
        <w:rPr>
          <w:rFonts w:hint="eastAsia" w:ascii="宋体" w:hAnsi="宋体"/>
          <w:color w:val="auto"/>
          <w:szCs w:val="21"/>
          <w:highlight w:val="none"/>
          <w:u w:val="single"/>
          <w:lang w:eastAsia="zh-CN"/>
        </w:rPr>
        <w:t>连云港生物工程中等专业学校</w:t>
      </w:r>
    </w:p>
    <w:p w14:paraId="6B6009E6">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u w:val="single"/>
        </w:rPr>
        <w:t>（项目编号）</w:t>
      </w:r>
      <w:r>
        <w:rPr>
          <w:rFonts w:hint="eastAsia" w:ascii="宋体" w:hAnsi="宋体"/>
          <w:color w:val="auto"/>
          <w:szCs w:val="21"/>
          <w:highlight w:val="none"/>
        </w:rPr>
        <w:t>招标文件，正式授权下述签字人______(姓名)代表我方______________（</w:t>
      </w:r>
      <w:r>
        <w:rPr>
          <w:rFonts w:hint="eastAsia" w:ascii="宋体" w:hAnsi="宋体"/>
          <w:color w:val="auto"/>
          <w:szCs w:val="21"/>
          <w:highlight w:val="none"/>
          <w:lang w:eastAsia="zh-CN"/>
        </w:rPr>
        <w:t>供应商</w:t>
      </w:r>
      <w:r>
        <w:rPr>
          <w:rFonts w:hint="eastAsia" w:ascii="宋体" w:hAnsi="宋体"/>
          <w:color w:val="auto"/>
          <w:szCs w:val="21"/>
          <w:highlight w:val="none"/>
        </w:rPr>
        <w:t>的名称），全权处理本次项目投标的有关事宜。</w:t>
      </w:r>
    </w:p>
    <w:p w14:paraId="7982A0BF">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26536E94">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53278164">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w:t>
      </w:r>
      <w:r>
        <w:rPr>
          <w:rFonts w:hint="eastAsia" w:ascii="宋体" w:hAnsi="宋体"/>
          <w:color w:val="auto"/>
          <w:szCs w:val="21"/>
          <w:highlight w:val="none"/>
          <w:lang w:eastAsia="zh-CN"/>
        </w:rPr>
        <w:t>供应商</w:t>
      </w:r>
      <w:r>
        <w:rPr>
          <w:rFonts w:hint="eastAsia" w:ascii="宋体" w:hAnsi="宋体"/>
          <w:color w:val="auto"/>
          <w:szCs w:val="21"/>
          <w:highlight w:val="none"/>
        </w:rPr>
        <w:t>。</w:t>
      </w:r>
    </w:p>
    <w:p w14:paraId="2A880F69">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79946537">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0E3A9CD4">
      <w:pPr>
        <w:pStyle w:val="273"/>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1594A47B">
      <w:pPr>
        <w:pStyle w:val="273"/>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711A3047">
      <w:pPr>
        <w:pStyle w:val="273"/>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7.</w:t>
      </w:r>
      <w:r>
        <w:rPr>
          <w:rFonts w:hint="eastAsia" w:ascii="宋体" w:hAnsi="宋体"/>
          <w:color w:val="auto"/>
          <w:sz w:val="24"/>
          <w:szCs w:val="24"/>
          <w:highlight w:val="none"/>
          <w:lang w:val="en-US" w:eastAsia="zh-CN"/>
        </w:rPr>
        <w:t>如因采购人需求调整、政策变化、不可抗力等原因，导致本项目中部分内容无需实施的，供应商统一按照实际发生量进行结算。</w:t>
      </w:r>
    </w:p>
    <w:p w14:paraId="481CBEF5">
      <w:pPr>
        <w:pStyle w:val="273"/>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.与本投标有关的正式通讯地址为：</w:t>
      </w:r>
    </w:p>
    <w:p w14:paraId="4E50690D">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24F379E2">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402D9B87">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21630076">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50787058">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开户行：</w:t>
      </w:r>
    </w:p>
    <w:p w14:paraId="04E0564E">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账          号： </w:t>
      </w:r>
    </w:p>
    <w:p w14:paraId="7D7ED7B9">
      <w:pPr>
        <w:pStyle w:val="273"/>
        <w:spacing w:before="0" w:after="0" w:line="420" w:lineRule="exact"/>
        <w:ind w:left="420"/>
        <w:rPr>
          <w:rFonts w:hint="eastAsia" w:ascii="宋体" w:hAnsi="宋体"/>
          <w:color w:val="auto"/>
          <w:szCs w:val="21"/>
          <w:highlight w:val="none"/>
        </w:rPr>
      </w:pPr>
    </w:p>
    <w:p w14:paraId="63B9202A">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（盖章）：</w:t>
      </w:r>
    </w:p>
    <w:p w14:paraId="2FD07BBC">
      <w:pPr>
        <w:pStyle w:val="27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期：________年____月____日</w:t>
      </w:r>
    </w:p>
    <w:p w14:paraId="2C96DADF">
      <w:pPr>
        <w:spacing w:line="560" w:lineRule="exact"/>
        <w:ind w:firstLine="240"/>
        <w:jc w:val="center"/>
        <w:rPr>
          <w:rFonts w:hint="eastAsia" w:ascii="宋体" w:hAnsi="宋体"/>
          <w:bCs/>
          <w:color w:val="auto"/>
          <w:sz w:val="24"/>
          <w:highlight w:val="none"/>
        </w:rPr>
      </w:pPr>
    </w:p>
    <w:p w14:paraId="3AA2EC13">
      <w:pPr>
        <w:spacing w:line="560" w:lineRule="exact"/>
        <w:ind w:firstLine="240"/>
        <w:jc w:val="center"/>
        <w:rPr>
          <w:rFonts w:hint="eastAsia" w:ascii="宋体" w:hAnsi="宋体"/>
          <w:bCs/>
          <w:color w:val="auto"/>
          <w:sz w:val="24"/>
          <w:highlight w:val="none"/>
        </w:rPr>
      </w:pPr>
    </w:p>
    <w:p w14:paraId="60D3E248">
      <w:pPr>
        <w:spacing w:line="560" w:lineRule="exact"/>
        <w:ind w:firstLine="240"/>
        <w:jc w:val="center"/>
        <w:rPr>
          <w:rFonts w:hint="eastAsia" w:ascii="宋体" w:hAnsi="宋体"/>
          <w:bCs/>
          <w:color w:val="auto"/>
          <w:sz w:val="24"/>
          <w:highlight w:val="none"/>
        </w:rPr>
      </w:pPr>
    </w:p>
    <w:p w14:paraId="54B1D744">
      <w:pPr>
        <w:spacing w:line="560" w:lineRule="exact"/>
        <w:ind w:firstLine="240"/>
        <w:jc w:val="center"/>
        <w:rPr>
          <w:rFonts w:hint="eastAsia" w:ascii="宋体" w:hAnsi="宋体"/>
          <w:bCs/>
          <w:color w:val="auto"/>
          <w:sz w:val="24"/>
          <w:highlight w:val="none"/>
        </w:rPr>
      </w:pPr>
    </w:p>
    <w:p w14:paraId="51BE663A">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九、小微企业声明函（服务）</w:t>
      </w:r>
    </w:p>
    <w:p w14:paraId="2D459858">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w:t>
      </w:r>
      <w:r>
        <w:rPr>
          <w:rFonts w:hint="eastAsia" w:ascii="宋体" w:hAnsi="宋体"/>
          <w:color w:val="auto"/>
          <w:sz w:val="24"/>
          <w:szCs w:val="24"/>
          <w:highlight w:val="none"/>
          <w:lang w:eastAsia="zh-CN"/>
        </w:rPr>
        <w:t>〔2020〕46号</w:t>
      </w:r>
      <w:r>
        <w:rPr>
          <w:rFonts w:hint="eastAsia" w:ascii="宋体" w:hAnsi="宋体"/>
          <w:color w:val="auto"/>
          <w:sz w:val="24"/>
          <w:szCs w:val="24"/>
          <w:highlight w:val="none"/>
        </w:rPr>
        <w:t>)的规定，本公司参加采购人组织的</w:t>
      </w:r>
      <w:r>
        <w:rPr>
          <w:rFonts w:hint="eastAsia" w:ascii="宋体" w:hAnsi="宋体"/>
          <w:color w:val="auto"/>
          <w:sz w:val="24"/>
          <w:szCs w:val="24"/>
          <w:highlight w:val="none"/>
          <w:u w:val="single"/>
        </w:rPr>
        <w:t>（单位名称）</w:t>
      </w:r>
      <w:r>
        <w:rPr>
          <w:rFonts w:hint="eastAsia" w:ascii="宋体" w:hAnsi="宋体"/>
          <w:color w:val="auto"/>
          <w:sz w:val="24"/>
          <w:szCs w:val="24"/>
          <w:highlight w:val="none"/>
        </w:rPr>
        <w:t>采购编号为</w:t>
      </w:r>
      <w:r>
        <w:rPr>
          <w:rFonts w:hint="eastAsia" w:ascii="宋体" w:hAnsi="宋体"/>
          <w:color w:val="auto"/>
          <w:sz w:val="24"/>
          <w:szCs w:val="24"/>
          <w:highlight w:val="none"/>
          <w:u w:val="single"/>
        </w:rPr>
        <w:t>***</w:t>
      </w:r>
      <w:r>
        <w:rPr>
          <w:rFonts w:hint="eastAsia" w:ascii="宋体" w:hAnsi="宋体"/>
          <w:color w:val="auto"/>
          <w:sz w:val="24"/>
          <w:szCs w:val="24"/>
          <w:highlight w:val="none"/>
        </w:rPr>
        <w:t>，</w:t>
      </w:r>
      <w:r>
        <w:rPr>
          <w:rFonts w:hint="eastAsia" w:ascii="宋体" w:hAnsi="宋体"/>
          <w:color w:val="auto"/>
          <w:sz w:val="24"/>
          <w:szCs w:val="24"/>
          <w:highlight w:val="none"/>
          <w:u w:val="single"/>
        </w:rPr>
        <w:t>（项目名称）（分包号：**）</w:t>
      </w:r>
      <w:r>
        <w:rPr>
          <w:rFonts w:hint="eastAsia" w:ascii="宋体" w:hAnsi="宋体"/>
          <w:color w:val="auto"/>
          <w:sz w:val="24"/>
          <w:szCs w:val="24"/>
          <w:highlight w:val="none"/>
        </w:rPr>
        <w:t>的采购活动，服务全部由符合政策的小微企业承接。根据《工业和信息化部、国家统计局、国家发展和改革委员会、财政部关于印发中小企业划型标准规定的通知》(工信部联企业</w:t>
      </w:r>
      <w:r>
        <w:rPr>
          <w:rFonts w:hint="eastAsia" w:ascii="宋体" w:hAnsi="宋体"/>
          <w:color w:val="auto"/>
          <w:sz w:val="24"/>
          <w:szCs w:val="24"/>
          <w:highlight w:val="none"/>
          <w:lang w:eastAsia="zh-CN"/>
        </w:rPr>
        <w:t>〔2011〕300号</w:t>
      </w:r>
      <w:r>
        <w:rPr>
          <w:rFonts w:hint="eastAsia" w:ascii="宋体" w:hAnsi="宋体"/>
          <w:color w:val="auto"/>
          <w:sz w:val="24"/>
          <w:szCs w:val="24"/>
          <w:highlight w:val="none"/>
        </w:rPr>
        <w:t>)的规定，相关企业的具体情况如下：</w:t>
      </w:r>
    </w:p>
    <w:p w14:paraId="315C9983">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u w:val="single"/>
        </w:rPr>
        <w:t>（</w:t>
      </w:r>
      <w:r>
        <w:rPr>
          <w:rFonts w:hint="eastAsia" w:ascii="宋体" w:hAnsi="宋体" w:cs="宋体"/>
          <w:color w:val="auto"/>
          <w:sz w:val="24"/>
          <w:szCs w:val="24"/>
          <w:highlight w:val="none"/>
          <w:u w:val="single"/>
        </w:rPr>
        <w:t>小型企业、微型企业</w:t>
      </w:r>
      <w:r>
        <w:rPr>
          <w:rFonts w:hint="eastAsia" w:ascii="宋体" w:hAnsi="宋体"/>
          <w:color w:val="auto"/>
          <w:sz w:val="24"/>
          <w:szCs w:val="24"/>
          <w:highlight w:val="none"/>
          <w:u w:val="single"/>
        </w:rPr>
        <w:t>）；</w:t>
      </w:r>
    </w:p>
    <w:p w14:paraId="5343B4DF">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15277155">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68667ACF">
      <w:pPr>
        <w:spacing w:line="560" w:lineRule="exact"/>
        <w:ind w:right="720"/>
        <w:rPr>
          <w:rFonts w:hint="eastAsia" w:ascii="宋体" w:hAnsi="宋体"/>
          <w:color w:val="auto"/>
          <w:sz w:val="24"/>
          <w:szCs w:val="24"/>
          <w:highlight w:val="none"/>
        </w:rPr>
      </w:pPr>
    </w:p>
    <w:p w14:paraId="6A53FB61">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1C072485">
      <w:pPr>
        <w:spacing w:line="560" w:lineRule="exact"/>
        <w:ind w:right="480" w:firstLine="5400"/>
        <w:rPr>
          <w:rFonts w:hint="eastAsia" w:ascii="宋体" w:hAnsi="宋体"/>
          <w:color w:val="auto"/>
          <w:sz w:val="24"/>
          <w:szCs w:val="24"/>
          <w:highlight w:val="none"/>
        </w:rPr>
      </w:pPr>
      <w:r>
        <w:rPr>
          <w:rFonts w:hint="eastAsia" w:ascii="宋体" w:hAnsi="宋体"/>
          <w:color w:val="auto"/>
          <w:sz w:val="24"/>
          <w:szCs w:val="24"/>
          <w:highlight w:val="none"/>
        </w:rPr>
        <w:t>日  期：</w:t>
      </w:r>
    </w:p>
    <w:p w14:paraId="49C683CD">
      <w:pPr>
        <w:spacing w:line="560" w:lineRule="exact"/>
        <w:ind w:firstLine="240"/>
        <w:rPr>
          <w:rFonts w:hint="eastAsia" w:ascii="宋体" w:hAnsi="宋体"/>
          <w:color w:val="auto"/>
          <w:sz w:val="24"/>
          <w:szCs w:val="24"/>
          <w:highlight w:val="none"/>
        </w:rPr>
      </w:pPr>
    </w:p>
    <w:p w14:paraId="1E81319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备注1：从业人员、营业收入、资产总额填报上一年度数据，无上一年度数据的新成立企业可不填报。</w:t>
      </w:r>
    </w:p>
    <w:p w14:paraId="25A4DDBE">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备注2：中标</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的《小</w:t>
      </w:r>
      <w:r>
        <w:rPr>
          <w:rFonts w:hint="eastAsia" w:ascii="宋体" w:hAnsi="宋体"/>
          <w:color w:val="auto"/>
          <w:sz w:val="24"/>
          <w:szCs w:val="24"/>
          <w:highlight w:val="none"/>
          <w:lang w:val="en-US" w:eastAsia="zh-CN"/>
        </w:rPr>
        <w:t>微</w:t>
      </w:r>
      <w:r>
        <w:rPr>
          <w:rFonts w:hint="eastAsia" w:ascii="宋体" w:hAnsi="宋体"/>
          <w:color w:val="auto"/>
          <w:sz w:val="24"/>
          <w:szCs w:val="24"/>
          <w:highlight w:val="none"/>
        </w:rPr>
        <w:t>企业声明函》随中标结果公开。</w:t>
      </w:r>
    </w:p>
    <w:p w14:paraId="110CC4C5">
      <w:pPr>
        <w:spacing w:line="460" w:lineRule="exact"/>
        <w:jc w:val="center"/>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十、残疾人福利性单位声明函（分包号：**）</w:t>
      </w:r>
    </w:p>
    <w:p w14:paraId="02F65FA4">
      <w:pPr>
        <w:spacing w:line="588" w:lineRule="exact"/>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lang w:eastAsia="zh-CN"/>
        </w:rPr>
        <w:t>〔2017〕141号</w:t>
      </w:r>
      <w:r>
        <w:rPr>
          <w:rFonts w:hint="eastAsia" w:ascii="宋体" w:hAnsi="宋体"/>
          <w:color w:val="auto"/>
          <w:sz w:val="24"/>
          <w:highlight w:val="none"/>
        </w:rPr>
        <w:t>）的规定，本单位为符合条件的残疾人福利性单位，且本单位参加______单位的采购文件编号为______的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项目（分包号：**）采购活动由本单位提供服务。</w:t>
      </w:r>
    </w:p>
    <w:p w14:paraId="4FCFF2B8">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4372C1E0">
      <w:pPr>
        <w:spacing w:line="588" w:lineRule="exact"/>
        <w:ind w:firstLine="480"/>
        <w:rPr>
          <w:rFonts w:hint="eastAsia" w:ascii="宋体" w:hAnsi="宋体"/>
          <w:color w:val="auto"/>
          <w:sz w:val="24"/>
          <w:highlight w:val="none"/>
        </w:rPr>
      </w:pPr>
    </w:p>
    <w:p w14:paraId="6A5A13B3">
      <w:pPr>
        <w:spacing w:line="588" w:lineRule="exact"/>
        <w:ind w:firstLine="480"/>
        <w:rPr>
          <w:rFonts w:ascii="宋体" w:hAnsi="宋体"/>
          <w:color w:val="auto"/>
          <w:sz w:val="24"/>
          <w:highlight w:val="none"/>
        </w:rPr>
      </w:pPr>
      <w:r>
        <w:rPr>
          <w:rFonts w:hint="eastAsia" w:ascii="宋体" w:hAnsi="宋体"/>
          <w:color w:val="auto"/>
          <w:sz w:val="24"/>
          <w:highlight w:val="none"/>
        </w:rPr>
        <w:t>（备注：1、中标人为残疾人福利单位的，此声明函将随中标结果同时公告，接受社会监督）</w:t>
      </w:r>
    </w:p>
    <w:p w14:paraId="4B34F5B4">
      <w:pPr>
        <w:spacing w:line="588" w:lineRule="exact"/>
        <w:ind w:firstLine="624"/>
        <w:rPr>
          <w:rFonts w:ascii="仿宋_GB2312" w:eastAsia="仿宋_GB2312"/>
          <w:color w:val="auto"/>
          <w:spacing w:val="6"/>
          <w:sz w:val="30"/>
          <w:szCs w:val="30"/>
          <w:highlight w:val="none"/>
        </w:rPr>
      </w:pPr>
    </w:p>
    <w:p w14:paraId="6FD8BC28">
      <w:pPr>
        <w:spacing w:line="560" w:lineRule="exact"/>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企业名称（加盖CA电子公章）：</w:t>
      </w:r>
    </w:p>
    <w:p w14:paraId="50B8FE1D">
      <w:pPr>
        <w:tabs>
          <w:tab w:val="left" w:pos="4860"/>
        </w:tabs>
        <w:spacing w:line="588" w:lineRule="exact"/>
        <w:ind w:right="1560" w:firstLine="480"/>
        <w:jc w:val="center"/>
        <w:rPr>
          <w:rFonts w:ascii="宋体" w:hAnsi="宋体"/>
          <w:color w:val="auto"/>
          <w:sz w:val="24"/>
          <w:highlight w:val="none"/>
        </w:rPr>
      </w:pPr>
      <w:r>
        <w:rPr>
          <w:rFonts w:hint="eastAsia" w:ascii="宋体" w:hAnsi="宋体"/>
          <w:color w:val="auto"/>
          <w:sz w:val="24"/>
          <w:szCs w:val="24"/>
          <w:highlight w:val="none"/>
        </w:rPr>
        <w:t xml:space="preserve">             日  期：</w:t>
      </w:r>
    </w:p>
    <w:p w14:paraId="4420A08C">
      <w:pPr>
        <w:spacing w:line="560" w:lineRule="exact"/>
        <w:jc w:val="center"/>
        <w:rPr>
          <w:rFonts w:hint="eastAsia" w:ascii="黑体" w:hAnsi="黑体" w:eastAsia="黑体"/>
          <w:b/>
          <w:color w:val="auto"/>
          <w:sz w:val="32"/>
          <w:szCs w:val="32"/>
          <w:highlight w:val="none"/>
        </w:rPr>
      </w:pPr>
    </w:p>
    <w:p w14:paraId="3FE2221F">
      <w:pPr>
        <w:spacing w:line="560" w:lineRule="exact"/>
        <w:jc w:val="center"/>
        <w:rPr>
          <w:rFonts w:hint="eastAsia" w:ascii="黑体" w:hAnsi="黑体" w:eastAsia="黑体"/>
          <w:b/>
          <w:color w:val="auto"/>
          <w:sz w:val="32"/>
          <w:szCs w:val="32"/>
          <w:highlight w:val="none"/>
        </w:rPr>
      </w:pPr>
    </w:p>
    <w:p w14:paraId="0A137E53">
      <w:pPr>
        <w:numPr>
          <w:ilvl w:val="0"/>
          <w:numId w:val="0"/>
        </w:numPr>
        <w:spacing w:line="560" w:lineRule="exact"/>
        <w:jc w:val="center"/>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lang w:val="en-US" w:eastAsia="zh-CN"/>
        </w:rPr>
        <w:t>十一、</w:t>
      </w:r>
      <w:r>
        <w:rPr>
          <w:rFonts w:hint="eastAsia" w:ascii="黑体" w:hAnsi="黑体" w:eastAsia="黑体"/>
          <w:iCs/>
          <w:color w:val="auto"/>
          <w:sz w:val="32"/>
          <w:szCs w:val="32"/>
          <w:highlight w:val="none"/>
          <w:u w:val="single"/>
        </w:rPr>
        <w:t>投标分项报价表</w:t>
      </w:r>
    </w:p>
    <w:p w14:paraId="1D7EBD03">
      <w:pPr>
        <w:tabs>
          <w:tab w:val="left" w:pos="360"/>
        </w:tabs>
        <w:spacing w:line="360" w:lineRule="auto"/>
        <w:jc w:val="center"/>
        <w:rPr>
          <w:rFonts w:hint="eastAsia" w:ascii="黑体" w:hAnsi="黑体" w:eastAsia="黑体" w:cs="宋体"/>
          <w:bCs/>
          <w:color w:val="auto"/>
          <w:sz w:val="36"/>
          <w:szCs w:val="28"/>
          <w:highlight w:val="none"/>
        </w:rPr>
      </w:pPr>
    </w:p>
    <w:p w14:paraId="70C0A69D">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6F66A964">
      <w:pPr>
        <w:spacing w:line="360" w:lineRule="auto"/>
        <w:jc w:val="left"/>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项目编号：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分包号：</w:t>
      </w:r>
      <w:r>
        <w:rPr>
          <w:rFonts w:ascii="宋体" w:hAnsi="宋体" w:eastAsia="宋体" w:cs="Times New Roman"/>
          <w:bCs/>
          <w:color w:val="auto"/>
          <w:sz w:val="24"/>
          <w:szCs w:val="24"/>
          <w:highlight w:val="none"/>
        </w:rPr>
        <w:t xml:space="preserve"> </w:t>
      </w:r>
    </w:p>
    <w:p w14:paraId="2C2F9DC4">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338CC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41E94754">
            <w:pPr>
              <w:spacing w:line="560" w:lineRule="exact"/>
              <w:jc w:val="center"/>
              <w:rPr>
                <w:rFonts w:ascii="宋体" w:hAnsi="宋体"/>
                <w:color w:val="auto"/>
                <w:sz w:val="24"/>
                <w:highlight w:val="none"/>
              </w:rPr>
            </w:pPr>
            <w:r>
              <w:rPr>
                <w:rFonts w:hint="eastAsia" w:ascii="宋体" w:hAnsi="宋体"/>
                <w:color w:val="auto"/>
                <w:sz w:val="24"/>
                <w:highlight w:val="none"/>
              </w:rPr>
              <w:t>序号</w:t>
            </w:r>
          </w:p>
        </w:tc>
        <w:tc>
          <w:tcPr>
            <w:tcW w:w="1756" w:type="dxa"/>
            <w:noWrap w:val="0"/>
            <w:vAlign w:val="center"/>
          </w:tcPr>
          <w:p w14:paraId="78DD588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产品、服务（标的）名称</w:t>
            </w:r>
          </w:p>
        </w:tc>
        <w:tc>
          <w:tcPr>
            <w:tcW w:w="1417" w:type="dxa"/>
            <w:noWrap w:val="0"/>
            <w:vAlign w:val="center"/>
          </w:tcPr>
          <w:p w14:paraId="1F3FF7D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分项单位</w:t>
            </w:r>
          </w:p>
        </w:tc>
        <w:tc>
          <w:tcPr>
            <w:tcW w:w="993" w:type="dxa"/>
            <w:noWrap w:val="0"/>
            <w:vAlign w:val="center"/>
          </w:tcPr>
          <w:p w14:paraId="52C2DFF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数量</w:t>
            </w:r>
          </w:p>
        </w:tc>
        <w:tc>
          <w:tcPr>
            <w:tcW w:w="1093" w:type="dxa"/>
            <w:noWrap w:val="0"/>
            <w:vAlign w:val="center"/>
          </w:tcPr>
          <w:p w14:paraId="19F0341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单价</w:t>
            </w:r>
          </w:p>
        </w:tc>
        <w:tc>
          <w:tcPr>
            <w:tcW w:w="2350" w:type="dxa"/>
            <w:noWrap w:val="0"/>
            <w:vAlign w:val="center"/>
          </w:tcPr>
          <w:p w14:paraId="02F073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单项</w:t>
            </w:r>
          </w:p>
          <w:p w14:paraId="43F80D0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olor w:val="auto"/>
                <w:sz w:val="24"/>
                <w:highlight w:val="none"/>
              </w:rPr>
            </w:pPr>
            <w:r>
              <w:rPr>
                <w:rFonts w:hint="eastAsia" w:ascii="宋体" w:hAnsi="宋体"/>
                <w:color w:val="auto"/>
                <w:sz w:val="24"/>
                <w:highlight w:val="none"/>
              </w:rPr>
              <w:t>合计价</w:t>
            </w:r>
          </w:p>
        </w:tc>
      </w:tr>
      <w:tr w14:paraId="5015E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147C98F">
            <w:pPr>
              <w:spacing w:line="560" w:lineRule="exact"/>
              <w:jc w:val="center"/>
              <w:rPr>
                <w:rFonts w:ascii="宋体" w:hAnsi="宋体"/>
                <w:color w:val="auto"/>
                <w:sz w:val="24"/>
                <w:highlight w:val="none"/>
              </w:rPr>
            </w:pPr>
          </w:p>
        </w:tc>
        <w:tc>
          <w:tcPr>
            <w:tcW w:w="1756" w:type="dxa"/>
            <w:noWrap w:val="0"/>
            <w:vAlign w:val="center"/>
          </w:tcPr>
          <w:p w14:paraId="6354C540">
            <w:pPr>
              <w:spacing w:line="560" w:lineRule="exact"/>
              <w:jc w:val="center"/>
              <w:rPr>
                <w:rFonts w:ascii="宋体" w:hAnsi="宋体"/>
                <w:color w:val="auto"/>
                <w:sz w:val="24"/>
                <w:highlight w:val="none"/>
              </w:rPr>
            </w:pPr>
          </w:p>
        </w:tc>
        <w:tc>
          <w:tcPr>
            <w:tcW w:w="1417" w:type="dxa"/>
            <w:noWrap w:val="0"/>
            <w:vAlign w:val="center"/>
          </w:tcPr>
          <w:p w14:paraId="5CBF4106">
            <w:pPr>
              <w:spacing w:line="560" w:lineRule="exact"/>
              <w:jc w:val="center"/>
              <w:rPr>
                <w:rFonts w:ascii="宋体" w:hAnsi="宋体"/>
                <w:color w:val="auto"/>
                <w:sz w:val="24"/>
                <w:highlight w:val="none"/>
              </w:rPr>
            </w:pPr>
          </w:p>
        </w:tc>
        <w:tc>
          <w:tcPr>
            <w:tcW w:w="993" w:type="dxa"/>
            <w:noWrap w:val="0"/>
            <w:vAlign w:val="center"/>
          </w:tcPr>
          <w:p w14:paraId="2401A257">
            <w:pPr>
              <w:spacing w:line="560" w:lineRule="exact"/>
              <w:jc w:val="center"/>
              <w:rPr>
                <w:rFonts w:ascii="宋体" w:hAnsi="宋体"/>
                <w:color w:val="auto"/>
                <w:sz w:val="24"/>
                <w:highlight w:val="none"/>
              </w:rPr>
            </w:pPr>
          </w:p>
        </w:tc>
        <w:tc>
          <w:tcPr>
            <w:tcW w:w="1093" w:type="dxa"/>
            <w:noWrap w:val="0"/>
            <w:vAlign w:val="center"/>
          </w:tcPr>
          <w:p w14:paraId="7A0CC200">
            <w:pPr>
              <w:spacing w:line="560" w:lineRule="exact"/>
              <w:jc w:val="center"/>
              <w:rPr>
                <w:rFonts w:ascii="宋体" w:hAnsi="宋体"/>
                <w:color w:val="auto"/>
                <w:sz w:val="24"/>
                <w:highlight w:val="none"/>
              </w:rPr>
            </w:pPr>
          </w:p>
        </w:tc>
        <w:tc>
          <w:tcPr>
            <w:tcW w:w="2350" w:type="dxa"/>
            <w:noWrap w:val="0"/>
            <w:vAlign w:val="center"/>
          </w:tcPr>
          <w:p w14:paraId="0ACB7533">
            <w:pPr>
              <w:spacing w:line="560" w:lineRule="exact"/>
              <w:jc w:val="center"/>
              <w:rPr>
                <w:rFonts w:ascii="宋体" w:hAnsi="宋体"/>
                <w:color w:val="auto"/>
                <w:sz w:val="24"/>
                <w:highlight w:val="none"/>
              </w:rPr>
            </w:pPr>
          </w:p>
        </w:tc>
      </w:tr>
      <w:tr w14:paraId="5CC1B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41FE6614">
            <w:pPr>
              <w:spacing w:line="560" w:lineRule="exact"/>
              <w:jc w:val="center"/>
              <w:rPr>
                <w:rFonts w:ascii="宋体" w:hAnsi="宋体"/>
                <w:color w:val="auto"/>
                <w:sz w:val="24"/>
                <w:highlight w:val="none"/>
              </w:rPr>
            </w:pPr>
          </w:p>
        </w:tc>
        <w:tc>
          <w:tcPr>
            <w:tcW w:w="1756" w:type="dxa"/>
            <w:noWrap w:val="0"/>
            <w:vAlign w:val="center"/>
          </w:tcPr>
          <w:p w14:paraId="72C3618F">
            <w:pPr>
              <w:spacing w:line="560" w:lineRule="exact"/>
              <w:jc w:val="center"/>
              <w:rPr>
                <w:rFonts w:ascii="宋体" w:hAnsi="宋体"/>
                <w:color w:val="auto"/>
                <w:sz w:val="24"/>
                <w:highlight w:val="none"/>
              </w:rPr>
            </w:pPr>
          </w:p>
        </w:tc>
        <w:tc>
          <w:tcPr>
            <w:tcW w:w="1417" w:type="dxa"/>
            <w:noWrap w:val="0"/>
            <w:vAlign w:val="center"/>
          </w:tcPr>
          <w:p w14:paraId="25457BAE">
            <w:pPr>
              <w:spacing w:line="560" w:lineRule="exact"/>
              <w:jc w:val="center"/>
              <w:rPr>
                <w:rFonts w:ascii="宋体" w:hAnsi="宋体"/>
                <w:color w:val="auto"/>
                <w:sz w:val="24"/>
                <w:highlight w:val="none"/>
              </w:rPr>
            </w:pPr>
          </w:p>
        </w:tc>
        <w:tc>
          <w:tcPr>
            <w:tcW w:w="993" w:type="dxa"/>
            <w:noWrap w:val="0"/>
            <w:vAlign w:val="center"/>
          </w:tcPr>
          <w:p w14:paraId="6943CE2D">
            <w:pPr>
              <w:spacing w:line="560" w:lineRule="exact"/>
              <w:jc w:val="center"/>
              <w:rPr>
                <w:rFonts w:ascii="宋体" w:hAnsi="宋体"/>
                <w:color w:val="auto"/>
                <w:sz w:val="24"/>
                <w:highlight w:val="none"/>
              </w:rPr>
            </w:pPr>
          </w:p>
        </w:tc>
        <w:tc>
          <w:tcPr>
            <w:tcW w:w="1093" w:type="dxa"/>
            <w:noWrap w:val="0"/>
            <w:vAlign w:val="center"/>
          </w:tcPr>
          <w:p w14:paraId="04B8B040">
            <w:pPr>
              <w:spacing w:line="560" w:lineRule="exact"/>
              <w:jc w:val="center"/>
              <w:rPr>
                <w:rFonts w:ascii="宋体" w:hAnsi="宋体"/>
                <w:color w:val="auto"/>
                <w:sz w:val="24"/>
                <w:highlight w:val="none"/>
              </w:rPr>
            </w:pPr>
          </w:p>
        </w:tc>
        <w:tc>
          <w:tcPr>
            <w:tcW w:w="2350" w:type="dxa"/>
            <w:noWrap w:val="0"/>
            <w:vAlign w:val="center"/>
          </w:tcPr>
          <w:p w14:paraId="1445A68C">
            <w:pPr>
              <w:spacing w:line="560" w:lineRule="exact"/>
              <w:jc w:val="center"/>
              <w:rPr>
                <w:rFonts w:ascii="宋体" w:hAnsi="宋体"/>
                <w:color w:val="auto"/>
                <w:sz w:val="24"/>
                <w:highlight w:val="none"/>
              </w:rPr>
            </w:pPr>
          </w:p>
        </w:tc>
      </w:tr>
      <w:tr w14:paraId="00298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EE1D118">
            <w:pPr>
              <w:spacing w:line="560" w:lineRule="exact"/>
              <w:jc w:val="center"/>
              <w:rPr>
                <w:rFonts w:ascii="宋体" w:hAnsi="宋体"/>
                <w:color w:val="auto"/>
                <w:sz w:val="24"/>
                <w:highlight w:val="none"/>
              </w:rPr>
            </w:pPr>
          </w:p>
        </w:tc>
        <w:tc>
          <w:tcPr>
            <w:tcW w:w="1756" w:type="dxa"/>
            <w:noWrap w:val="0"/>
            <w:vAlign w:val="center"/>
          </w:tcPr>
          <w:p w14:paraId="06F88F43">
            <w:pPr>
              <w:spacing w:line="560" w:lineRule="exact"/>
              <w:jc w:val="center"/>
              <w:rPr>
                <w:rFonts w:ascii="宋体" w:hAnsi="宋体"/>
                <w:color w:val="auto"/>
                <w:sz w:val="24"/>
                <w:highlight w:val="none"/>
              </w:rPr>
            </w:pPr>
          </w:p>
        </w:tc>
        <w:tc>
          <w:tcPr>
            <w:tcW w:w="1417" w:type="dxa"/>
            <w:noWrap w:val="0"/>
            <w:vAlign w:val="center"/>
          </w:tcPr>
          <w:p w14:paraId="369FF2FC">
            <w:pPr>
              <w:spacing w:line="560" w:lineRule="exact"/>
              <w:jc w:val="center"/>
              <w:rPr>
                <w:rFonts w:ascii="宋体" w:hAnsi="宋体"/>
                <w:color w:val="auto"/>
                <w:sz w:val="24"/>
                <w:highlight w:val="none"/>
              </w:rPr>
            </w:pPr>
          </w:p>
        </w:tc>
        <w:tc>
          <w:tcPr>
            <w:tcW w:w="993" w:type="dxa"/>
            <w:noWrap w:val="0"/>
            <w:vAlign w:val="center"/>
          </w:tcPr>
          <w:p w14:paraId="5C4ED129">
            <w:pPr>
              <w:spacing w:line="560" w:lineRule="exact"/>
              <w:jc w:val="center"/>
              <w:rPr>
                <w:rFonts w:ascii="宋体" w:hAnsi="宋体"/>
                <w:color w:val="auto"/>
                <w:sz w:val="24"/>
                <w:highlight w:val="none"/>
              </w:rPr>
            </w:pPr>
          </w:p>
        </w:tc>
        <w:tc>
          <w:tcPr>
            <w:tcW w:w="1093" w:type="dxa"/>
            <w:noWrap w:val="0"/>
            <w:vAlign w:val="center"/>
          </w:tcPr>
          <w:p w14:paraId="5E0B2D29">
            <w:pPr>
              <w:spacing w:line="560" w:lineRule="exact"/>
              <w:jc w:val="center"/>
              <w:rPr>
                <w:rFonts w:ascii="宋体" w:hAnsi="宋体"/>
                <w:color w:val="auto"/>
                <w:sz w:val="24"/>
                <w:highlight w:val="none"/>
              </w:rPr>
            </w:pPr>
          </w:p>
        </w:tc>
        <w:tc>
          <w:tcPr>
            <w:tcW w:w="2350" w:type="dxa"/>
            <w:noWrap w:val="0"/>
            <w:vAlign w:val="center"/>
          </w:tcPr>
          <w:p w14:paraId="4EB33BE6">
            <w:pPr>
              <w:spacing w:line="560" w:lineRule="exact"/>
              <w:jc w:val="center"/>
              <w:rPr>
                <w:rFonts w:ascii="宋体" w:hAnsi="宋体"/>
                <w:color w:val="auto"/>
                <w:sz w:val="24"/>
                <w:highlight w:val="none"/>
              </w:rPr>
            </w:pPr>
          </w:p>
        </w:tc>
      </w:tr>
      <w:tr w14:paraId="49540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68675522">
            <w:pPr>
              <w:spacing w:line="560" w:lineRule="exact"/>
              <w:jc w:val="center"/>
              <w:rPr>
                <w:rFonts w:ascii="宋体" w:hAnsi="宋体"/>
                <w:color w:val="auto"/>
                <w:sz w:val="24"/>
                <w:highlight w:val="none"/>
              </w:rPr>
            </w:pPr>
            <w:r>
              <w:rPr>
                <w:rFonts w:hint="eastAsia" w:ascii="宋体" w:hAnsi="宋体"/>
                <w:color w:val="auto"/>
                <w:sz w:val="24"/>
                <w:highlight w:val="none"/>
              </w:rPr>
              <w:t>总计（元）</w:t>
            </w:r>
          </w:p>
        </w:tc>
        <w:tc>
          <w:tcPr>
            <w:tcW w:w="2350" w:type="dxa"/>
            <w:noWrap w:val="0"/>
            <w:vAlign w:val="center"/>
          </w:tcPr>
          <w:p w14:paraId="67BB1B36">
            <w:pPr>
              <w:spacing w:line="560" w:lineRule="exact"/>
              <w:jc w:val="center"/>
              <w:rPr>
                <w:rFonts w:ascii="宋体" w:hAnsi="宋体"/>
                <w:color w:val="auto"/>
                <w:sz w:val="24"/>
                <w:highlight w:val="none"/>
              </w:rPr>
            </w:pPr>
          </w:p>
        </w:tc>
      </w:tr>
    </w:tbl>
    <w:p w14:paraId="7F45F430">
      <w:pPr>
        <w:spacing w:line="360" w:lineRule="auto"/>
        <w:ind w:firstLine="420"/>
        <w:rPr>
          <w:rFonts w:ascii="Times New Roman" w:hAnsi="Times New Roman" w:eastAsia="宋体" w:cs="Times New Roman"/>
          <w:color w:val="auto"/>
          <w:szCs w:val="24"/>
          <w:highlight w:val="none"/>
        </w:rPr>
      </w:pPr>
    </w:p>
    <w:p w14:paraId="25D5B2B1">
      <w:pPr>
        <w:spacing w:line="360" w:lineRule="auto"/>
        <w:ind w:firstLine="480"/>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（盖章）：</w:t>
      </w:r>
    </w:p>
    <w:p w14:paraId="658F1C6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Times New Roman" w:hAnsi="Times New Roman"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1D44A6C6">
      <w:pPr>
        <w:spacing w:line="420" w:lineRule="exact"/>
        <w:ind w:firstLine="480"/>
        <w:jc w:val="left"/>
        <w:rPr>
          <w:rFonts w:hint="eastAsia" w:ascii="宋体" w:hAnsi="宋体"/>
          <w:bCs/>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34845612">
      <w:pPr>
        <w:spacing w:line="420" w:lineRule="exact"/>
        <w:ind w:firstLine="480"/>
        <w:jc w:val="left"/>
        <w:rPr>
          <w:rFonts w:hint="eastAsia" w:ascii="宋体" w:hAnsi="宋体"/>
          <w:bCs/>
          <w:color w:val="auto"/>
          <w:sz w:val="24"/>
          <w:highlight w:val="none"/>
        </w:rPr>
      </w:pPr>
    </w:p>
    <w:p w14:paraId="0BEF9740">
      <w:pPr>
        <w:spacing w:line="420" w:lineRule="exact"/>
        <w:ind w:firstLine="643"/>
        <w:rPr>
          <w:rFonts w:hint="eastAsia" w:ascii="黑体" w:hAnsi="黑体" w:eastAsia="黑体"/>
          <w:b/>
          <w:color w:val="auto"/>
          <w:sz w:val="32"/>
          <w:szCs w:val="32"/>
          <w:highlight w:val="none"/>
        </w:rPr>
      </w:pPr>
    </w:p>
    <w:p w14:paraId="5F84C9E1">
      <w:pPr>
        <w:spacing w:line="360" w:lineRule="auto"/>
        <w:ind w:firstLine="480"/>
        <w:rPr>
          <w:rFonts w:hint="eastAsia" w:ascii="宋体" w:hAnsi="宋体"/>
          <w:iCs/>
          <w:color w:val="auto"/>
          <w:sz w:val="24"/>
          <w:highlight w:val="none"/>
        </w:rPr>
      </w:pPr>
    </w:p>
    <w:p w14:paraId="6C969558">
      <w:pPr>
        <w:spacing w:line="360" w:lineRule="auto"/>
        <w:ind w:firstLine="480"/>
        <w:rPr>
          <w:rFonts w:hint="eastAsia" w:ascii="宋体" w:hAnsi="宋体"/>
          <w:iCs/>
          <w:color w:val="auto"/>
          <w:sz w:val="24"/>
          <w:highlight w:val="none"/>
        </w:rPr>
      </w:pPr>
    </w:p>
    <w:p w14:paraId="072D9024">
      <w:pPr>
        <w:jc w:val="center"/>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54"/>
      <w:bookmarkStart w:id="257" w:name="_Hlt26955054"/>
      <w:bookmarkEnd w:id="257"/>
      <w:r>
        <w:rPr>
          <w:rFonts w:hint="eastAsia" w:ascii="黑体" w:hAnsi="黑体" w:eastAsia="黑体"/>
          <w:iCs/>
          <w:color w:val="auto"/>
          <w:sz w:val="32"/>
          <w:szCs w:val="32"/>
          <w:highlight w:val="none"/>
          <w:u w:val="single"/>
        </w:rPr>
        <w:t>十二、技术要求响应及偏离表（分包号：**）</w:t>
      </w:r>
    </w:p>
    <w:p w14:paraId="6CD215A3">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请对应采购文件“项目需求”等内容要求的商务、技术条件，填写该表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29650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1E1CCEB2">
            <w:pPr>
              <w:jc w:val="center"/>
              <w:rPr>
                <w:rFonts w:hint="eastAsia" w:ascii="宋体" w:hAnsi="宋体"/>
                <w:color w:val="auto"/>
                <w:sz w:val="24"/>
                <w:szCs w:val="24"/>
                <w:highlight w:val="none"/>
              </w:rPr>
            </w:pPr>
            <w:bookmarkStart w:id="258" w:name="_Hlt26609391"/>
            <w:bookmarkEnd w:id="258"/>
            <w:bookmarkStart w:id="259" w:name="_Hlt26955056"/>
            <w:bookmarkEnd w:id="259"/>
            <w:bookmarkStart w:id="260" w:name="_Hlt26782999"/>
            <w:bookmarkEnd w:id="260"/>
            <w:bookmarkStart w:id="261" w:name="_Hlt24879081"/>
            <w:bookmarkEnd w:id="261"/>
            <w:bookmarkStart w:id="262" w:name="_Hlt26671343"/>
            <w:bookmarkEnd w:id="262"/>
            <w:bookmarkStart w:id="263" w:name="_Hlt26955064"/>
            <w:bookmarkEnd w:id="263"/>
            <w:bookmarkStart w:id="264" w:name="_Hlt26671372"/>
            <w:bookmarkEnd w:id="264"/>
            <w:bookmarkStart w:id="265" w:name="_Hlt26580838"/>
            <w:bookmarkEnd w:id="265"/>
            <w:r>
              <w:rPr>
                <w:rFonts w:hint="eastAsia" w:ascii="宋体" w:hAnsi="宋体"/>
                <w:color w:val="auto"/>
                <w:sz w:val="24"/>
                <w:szCs w:val="24"/>
                <w:highlight w:val="none"/>
              </w:rPr>
              <w:t>序号</w:t>
            </w:r>
          </w:p>
        </w:tc>
        <w:tc>
          <w:tcPr>
            <w:tcW w:w="2688" w:type="dxa"/>
            <w:noWrap w:val="0"/>
            <w:vAlign w:val="center"/>
          </w:tcPr>
          <w:p w14:paraId="0C9972FF">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83" w:type="dxa"/>
            <w:noWrap w:val="0"/>
            <w:vAlign w:val="center"/>
          </w:tcPr>
          <w:p w14:paraId="5F820C6A">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1302" w:type="dxa"/>
            <w:noWrap w:val="0"/>
            <w:vAlign w:val="center"/>
          </w:tcPr>
          <w:p w14:paraId="3631E06F">
            <w:pPr>
              <w:jc w:val="center"/>
              <w:rPr>
                <w:rFonts w:hint="eastAsia" w:ascii="宋体" w:hAnsi="宋体"/>
                <w:color w:val="auto"/>
                <w:sz w:val="24"/>
                <w:szCs w:val="24"/>
                <w:highlight w:val="none"/>
              </w:rPr>
            </w:pPr>
            <w:r>
              <w:rPr>
                <w:rFonts w:hint="eastAsia" w:ascii="宋体" w:hAnsi="宋体"/>
                <w:color w:val="auto"/>
                <w:sz w:val="24"/>
                <w:szCs w:val="24"/>
                <w:highlight w:val="none"/>
              </w:rPr>
              <w:t>超出、符合或偏离</w:t>
            </w:r>
          </w:p>
        </w:tc>
        <w:tc>
          <w:tcPr>
            <w:tcW w:w="1614" w:type="dxa"/>
            <w:noWrap w:val="0"/>
            <w:vAlign w:val="center"/>
          </w:tcPr>
          <w:p w14:paraId="65D001EE">
            <w:pPr>
              <w:jc w:val="center"/>
              <w:rPr>
                <w:rFonts w:hint="eastAsia" w:ascii="宋体" w:hAnsi="宋体"/>
                <w:color w:val="auto"/>
                <w:sz w:val="24"/>
                <w:szCs w:val="24"/>
                <w:highlight w:val="none"/>
              </w:rPr>
            </w:pPr>
            <w:r>
              <w:rPr>
                <w:rFonts w:hint="eastAsia" w:ascii="宋体" w:hAnsi="宋体"/>
                <w:color w:val="auto"/>
                <w:sz w:val="24"/>
                <w:szCs w:val="24"/>
                <w:highlight w:val="none"/>
              </w:rPr>
              <w:t>证明</w:t>
            </w:r>
          </w:p>
          <w:p w14:paraId="033A8523">
            <w:pPr>
              <w:jc w:val="center"/>
              <w:rPr>
                <w:rFonts w:hint="eastAsia" w:ascii="宋体" w:hAnsi="宋体"/>
                <w:color w:val="auto"/>
                <w:sz w:val="24"/>
                <w:szCs w:val="24"/>
                <w:highlight w:val="none"/>
              </w:rPr>
            </w:pPr>
            <w:r>
              <w:rPr>
                <w:rFonts w:hint="eastAsia" w:ascii="宋体" w:hAnsi="宋体"/>
                <w:color w:val="auto"/>
                <w:sz w:val="24"/>
                <w:szCs w:val="24"/>
                <w:highlight w:val="none"/>
              </w:rPr>
              <w:t>材料</w:t>
            </w:r>
          </w:p>
        </w:tc>
      </w:tr>
      <w:tr w14:paraId="2EB56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1CCB643A">
            <w:pPr>
              <w:jc w:val="center"/>
              <w:rPr>
                <w:rFonts w:hint="eastAsia" w:ascii="宋体" w:hAnsi="宋体"/>
                <w:color w:val="auto"/>
                <w:sz w:val="24"/>
                <w:szCs w:val="24"/>
                <w:highlight w:val="none"/>
              </w:rPr>
            </w:pPr>
          </w:p>
        </w:tc>
        <w:tc>
          <w:tcPr>
            <w:tcW w:w="2688" w:type="dxa"/>
            <w:noWrap w:val="0"/>
            <w:vAlign w:val="top"/>
          </w:tcPr>
          <w:p w14:paraId="76EFFA28">
            <w:pPr>
              <w:jc w:val="center"/>
              <w:rPr>
                <w:rFonts w:hint="eastAsia" w:ascii="宋体" w:hAnsi="宋体"/>
                <w:color w:val="auto"/>
                <w:sz w:val="24"/>
                <w:szCs w:val="24"/>
                <w:highlight w:val="none"/>
              </w:rPr>
            </w:pPr>
          </w:p>
        </w:tc>
        <w:tc>
          <w:tcPr>
            <w:tcW w:w="2883" w:type="dxa"/>
            <w:noWrap w:val="0"/>
            <w:vAlign w:val="top"/>
          </w:tcPr>
          <w:p w14:paraId="3FE14E15">
            <w:pPr>
              <w:jc w:val="center"/>
              <w:rPr>
                <w:rFonts w:hint="eastAsia" w:ascii="宋体" w:hAnsi="宋体"/>
                <w:color w:val="auto"/>
                <w:sz w:val="24"/>
                <w:szCs w:val="24"/>
                <w:highlight w:val="none"/>
              </w:rPr>
            </w:pPr>
          </w:p>
        </w:tc>
        <w:tc>
          <w:tcPr>
            <w:tcW w:w="1302" w:type="dxa"/>
            <w:noWrap w:val="0"/>
            <w:vAlign w:val="top"/>
          </w:tcPr>
          <w:p w14:paraId="545D2021">
            <w:pPr>
              <w:jc w:val="center"/>
              <w:rPr>
                <w:rFonts w:hint="eastAsia" w:ascii="宋体" w:hAnsi="宋体"/>
                <w:color w:val="auto"/>
                <w:sz w:val="24"/>
                <w:szCs w:val="24"/>
                <w:highlight w:val="none"/>
              </w:rPr>
            </w:pPr>
          </w:p>
        </w:tc>
        <w:tc>
          <w:tcPr>
            <w:tcW w:w="1614" w:type="dxa"/>
            <w:noWrap w:val="0"/>
            <w:vAlign w:val="top"/>
          </w:tcPr>
          <w:p w14:paraId="13205136">
            <w:pPr>
              <w:jc w:val="center"/>
              <w:rPr>
                <w:rFonts w:hint="eastAsia" w:ascii="宋体" w:hAnsi="宋体"/>
                <w:color w:val="auto"/>
                <w:sz w:val="24"/>
                <w:szCs w:val="24"/>
                <w:highlight w:val="none"/>
              </w:rPr>
            </w:pPr>
          </w:p>
        </w:tc>
      </w:tr>
      <w:tr w14:paraId="59D65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02E3EEF4">
            <w:pPr>
              <w:jc w:val="center"/>
              <w:rPr>
                <w:rFonts w:hint="eastAsia" w:ascii="宋体" w:hAnsi="宋体"/>
                <w:color w:val="auto"/>
                <w:sz w:val="24"/>
                <w:szCs w:val="24"/>
                <w:highlight w:val="none"/>
              </w:rPr>
            </w:pPr>
          </w:p>
        </w:tc>
        <w:tc>
          <w:tcPr>
            <w:tcW w:w="2688" w:type="dxa"/>
            <w:noWrap w:val="0"/>
            <w:vAlign w:val="top"/>
          </w:tcPr>
          <w:p w14:paraId="2EA4A13F">
            <w:pPr>
              <w:jc w:val="center"/>
              <w:rPr>
                <w:rFonts w:hint="eastAsia" w:ascii="宋体" w:hAnsi="宋体"/>
                <w:color w:val="auto"/>
                <w:sz w:val="24"/>
                <w:szCs w:val="24"/>
                <w:highlight w:val="none"/>
              </w:rPr>
            </w:pPr>
          </w:p>
        </w:tc>
        <w:tc>
          <w:tcPr>
            <w:tcW w:w="2883" w:type="dxa"/>
            <w:noWrap w:val="0"/>
            <w:vAlign w:val="top"/>
          </w:tcPr>
          <w:p w14:paraId="2EAC075E">
            <w:pPr>
              <w:jc w:val="center"/>
              <w:rPr>
                <w:rFonts w:hint="eastAsia" w:ascii="宋体" w:hAnsi="宋体"/>
                <w:color w:val="auto"/>
                <w:sz w:val="24"/>
                <w:szCs w:val="24"/>
                <w:highlight w:val="none"/>
              </w:rPr>
            </w:pPr>
          </w:p>
        </w:tc>
        <w:tc>
          <w:tcPr>
            <w:tcW w:w="1302" w:type="dxa"/>
            <w:noWrap w:val="0"/>
            <w:vAlign w:val="top"/>
          </w:tcPr>
          <w:p w14:paraId="440D81DE">
            <w:pPr>
              <w:jc w:val="center"/>
              <w:rPr>
                <w:rFonts w:hint="eastAsia" w:ascii="宋体" w:hAnsi="宋体"/>
                <w:color w:val="auto"/>
                <w:sz w:val="24"/>
                <w:szCs w:val="24"/>
                <w:highlight w:val="none"/>
              </w:rPr>
            </w:pPr>
          </w:p>
        </w:tc>
        <w:tc>
          <w:tcPr>
            <w:tcW w:w="1614" w:type="dxa"/>
            <w:noWrap w:val="0"/>
            <w:vAlign w:val="top"/>
          </w:tcPr>
          <w:p w14:paraId="2DBE3AE2">
            <w:pPr>
              <w:jc w:val="center"/>
              <w:rPr>
                <w:rFonts w:hint="eastAsia" w:ascii="宋体" w:hAnsi="宋体"/>
                <w:color w:val="auto"/>
                <w:sz w:val="24"/>
                <w:szCs w:val="24"/>
                <w:highlight w:val="none"/>
              </w:rPr>
            </w:pPr>
          </w:p>
        </w:tc>
      </w:tr>
      <w:tr w14:paraId="202AA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5818D7DC">
            <w:pPr>
              <w:jc w:val="center"/>
              <w:rPr>
                <w:rFonts w:hint="eastAsia" w:ascii="宋体" w:hAnsi="宋体"/>
                <w:color w:val="auto"/>
                <w:sz w:val="24"/>
                <w:szCs w:val="24"/>
                <w:highlight w:val="none"/>
              </w:rPr>
            </w:pPr>
          </w:p>
        </w:tc>
        <w:tc>
          <w:tcPr>
            <w:tcW w:w="2688" w:type="dxa"/>
            <w:noWrap w:val="0"/>
            <w:vAlign w:val="top"/>
          </w:tcPr>
          <w:p w14:paraId="08B889B1">
            <w:pPr>
              <w:jc w:val="center"/>
              <w:rPr>
                <w:rFonts w:hint="eastAsia" w:ascii="宋体" w:hAnsi="宋体"/>
                <w:color w:val="auto"/>
                <w:sz w:val="24"/>
                <w:szCs w:val="24"/>
                <w:highlight w:val="none"/>
              </w:rPr>
            </w:pPr>
          </w:p>
        </w:tc>
        <w:tc>
          <w:tcPr>
            <w:tcW w:w="2883" w:type="dxa"/>
            <w:noWrap w:val="0"/>
            <w:vAlign w:val="top"/>
          </w:tcPr>
          <w:p w14:paraId="1AC7C189">
            <w:pPr>
              <w:jc w:val="center"/>
              <w:rPr>
                <w:rFonts w:hint="eastAsia" w:ascii="宋体" w:hAnsi="宋体"/>
                <w:color w:val="auto"/>
                <w:sz w:val="24"/>
                <w:szCs w:val="24"/>
                <w:highlight w:val="none"/>
              </w:rPr>
            </w:pPr>
          </w:p>
        </w:tc>
        <w:tc>
          <w:tcPr>
            <w:tcW w:w="1302" w:type="dxa"/>
            <w:noWrap w:val="0"/>
            <w:vAlign w:val="top"/>
          </w:tcPr>
          <w:p w14:paraId="53845E9F">
            <w:pPr>
              <w:jc w:val="center"/>
              <w:rPr>
                <w:rFonts w:hint="eastAsia" w:ascii="宋体" w:hAnsi="宋体"/>
                <w:color w:val="auto"/>
                <w:sz w:val="24"/>
                <w:szCs w:val="24"/>
                <w:highlight w:val="none"/>
              </w:rPr>
            </w:pPr>
          </w:p>
        </w:tc>
        <w:tc>
          <w:tcPr>
            <w:tcW w:w="1614" w:type="dxa"/>
            <w:noWrap w:val="0"/>
            <w:vAlign w:val="top"/>
          </w:tcPr>
          <w:p w14:paraId="47F3D038">
            <w:pPr>
              <w:jc w:val="center"/>
              <w:rPr>
                <w:rFonts w:hint="eastAsia" w:ascii="宋体" w:hAnsi="宋体"/>
                <w:color w:val="auto"/>
                <w:sz w:val="24"/>
                <w:szCs w:val="24"/>
                <w:highlight w:val="none"/>
              </w:rPr>
            </w:pPr>
          </w:p>
        </w:tc>
      </w:tr>
      <w:tr w14:paraId="4846D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282204F7">
            <w:pPr>
              <w:jc w:val="center"/>
              <w:rPr>
                <w:rFonts w:hint="eastAsia" w:ascii="宋体" w:hAnsi="宋体"/>
                <w:color w:val="auto"/>
                <w:sz w:val="24"/>
                <w:szCs w:val="24"/>
                <w:highlight w:val="none"/>
              </w:rPr>
            </w:pPr>
          </w:p>
        </w:tc>
        <w:tc>
          <w:tcPr>
            <w:tcW w:w="2688" w:type="dxa"/>
            <w:noWrap w:val="0"/>
            <w:vAlign w:val="top"/>
          </w:tcPr>
          <w:p w14:paraId="1A3B03FD">
            <w:pPr>
              <w:jc w:val="center"/>
              <w:rPr>
                <w:rFonts w:hint="eastAsia" w:ascii="宋体" w:hAnsi="宋体"/>
                <w:color w:val="auto"/>
                <w:sz w:val="24"/>
                <w:szCs w:val="24"/>
                <w:highlight w:val="none"/>
              </w:rPr>
            </w:pPr>
          </w:p>
        </w:tc>
        <w:tc>
          <w:tcPr>
            <w:tcW w:w="2883" w:type="dxa"/>
            <w:noWrap w:val="0"/>
            <w:vAlign w:val="top"/>
          </w:tcPr>
          <w:p w14:paraId="1D562726">
            <w:pPr>
              <w:jc w:val="center"/>
              <w:rPr>
                <w:rFonts w:hint="eastAsia" w:ascii="宋体" w:hAnsi="宋体"/>
                <w:color w:val="auto"/>
                <w:sz w:val="24"/>
                <w:szCs w:val="24"/>
                <w:highlight w:val="none"/>
              </w:rPr>
            </w:pPr>
          </w:p>
        </w:tc>
        <w:tc>
          <w:tcPr>
            <w:tcW w:w="1302" w:type="dxa"/>
            <w:noWrap w:val="0"/>
            <w:vAlign w:val="top"/>
          </w:tcPr>
          <w:p w14:paraId="0E3BF526">
            <w:pPr>
              <w:jc w:val="center"/>
              <w:rPr>
                <w:rFonts w:hint="eastAsia" w:ascii="宋体" w:hAnsi="宋体"/>
                <w:color w:val="auto"/>
                <w:sz w:val="24"/>
                <w:szCs w:val="24"/>
                <w:highlight w:val="none"/>
              </w:rPr>
            </w:pPr>
          </w:p>
        </w:tc>
        <w:tc>
          <w:tcPr>
            <w:tcW w:w="1614" w:type="dxa"/>
            <w:noWrap w:val="0"/>
            <w:vAlign w:val="top"/>
          </w:tcPr>
          <w:p w14:paraId="5DF9A1C2">
            <w:pPr>
              <w:jc w:val="center"/>
              <w:rPr>
                <w:rFonts w:hint="eastAsia" w:ascii="宋体" w:hAnsi="宋体"/>
                <w:color w:val="auto"/>
                <w:sz w:val="24"/>
                <w:szCs w:val="24"/>
                <w:highlight w:val="none"/>
              </w:rPr>
            </w:pPr>
          </w:p>
        </w:tc>
      </w:tr>
      <w:tr w14:paraId="0ACDE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09037A5E">
            <w:pPr>
              <w:jc w:val="center"/>
              <w:rPr>
                <w:rFonts w:hint="eastAsia" w:ascii="宋体" w:hAnsi="宋体"/>
                <w:color w:val="auto"/>
                <w:sz w:val="24"/>
                <w:szCs w:val="24"/>
                <w:highlight w:val="none"/>
              </w:rPr>
            </w:pPr>
          </w:p>
        </w:tc>
        <w:tc>
          <w:tcPr>
            <w:tcW w:w="2688" w:type="dxa"/>
            <w:noWrap w:val="0"/>
            <w:vAlign w:val="top"/>
          </w:tcPr>
          <w:p w14:paraId="1C824D53">
            <w:pPr>
              <w:jc w:val="center"/>
              <w:rPr>
                <w:rFonts w:hint="eastAsia" w:ascii="宋体" w:hAnsi="宋体"/>
                <w:color w:val="auto"/>
                <w:sz w:val="24"/>
                <w:szCs w:val="24"/>
                <w:highlight w:val="none"/>
              </w:rPr>
            </w:pPr>
          </w:p>
        </w:tc>
        <w:tc>
          <w:tcPr>
            <w:tcW w:w="2883" w:type="dxa"/>
            <w:noWrap w:val="0"/>
            <w:vAlign w:val="top"/>
          </w:tcPr>
          <w:p w14:paraId="5E467AEE">
            <w:pPr>
              <w:jc w:val="center"/>
              <w:rPr>
                <w:rFonts w:hint="eastAsia" w:ascii="宋体" w:hAnsi="宋体"/>
                <w:color w:val="auto"/>
                <w:sz w:val="24"/>
                <w:szCs w:val="24"/>
                <w:highlight w:val="none"/>
              </w:rPr>
            </w:pPr>
          </w:p>
        </w:tc>
        <w:tc>
          <w:tcPr>
            <w:tcW w:w="1302" w:type="dxa"/>
            <w:noWrap w:val="0"/>
            <w:vAlign w:val="top"/>
          </w:tcPr>
          <w:p w14:paraId="5BC8AB3A">
            <w:pPr>
              <w:jc w:val="center"/>
              <w:rPr>
                <w:rFonts w:hint="eastAsia" w:ascii="宋体" w:hAnsi="宋体"/>
                <w:color w:val="auto"/>
                <w:sz w:val="24"/>
                <w:szCs w:val="24"/>
                <w:highlight w:val="none"/>
              </w:rPr>
            </w:pPr>
          </w:p>
        </w:tc>
        <w:tc>
          <w:tcPr>
            <w:tcW w:w="1614" w:type="dxa"/>
            <w:noWrap w:val="0"/>
            <w:vAlign w:val="top"/>
          </w:tcPr>
          <w:p w14:paraId="07E15645">
            <w:pPr>
              <w:jc w:val="center"/>
              <w:rPr>
                <w:rFonts w:hint="eastAsia" w:ascii="宋体" w:hAnsi="宋体"/>
                <w:color w:val="auto"/>
                <w:sz w:val="24"/>
                <w:szCs w:val="24"/>
                <w:highlight w:val="none"/>
              </w:rPr>
            </w:pPr>
          </w:p>
        </w:tc>
      </w:tr>
      <w:tr w14:paraId="128A9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28A3C0B8">
            <w:pPr>
              <w:jc w:val="center"/>
              <w:rPr>
                <w:rFonts w:hint="eastAsia" w:ascii="宋体" w:hAnsi="宋体"/>
                <w:color w:val="auto"/>
                <w:sz w:val="24"/>
                <w:szCs w:val="24"/>
                <w:highlight w:val="none"/>
              </w:rPr>
            </w:pPr>
          </w:p>
        </w:tc>
        <w:tc>
          <w:tcPr>
            <w:tcW w:w="2688" w:type="dxa"/>
            <w:noWrap w:val="0"/>
            <w:vAlign w:val="top"/>
          </w:tcPr>
          <w:p w14:paraId="519944DF">
            <w:pPr>
              <w:jc w:val="center"/>
              <w:rPr>
                <w:rFonts w:hint="eastAsia" w:ascii="宋体" w:hAnsi="宋体"/>
                <w:color w:val="auto"/>
                <w:sz w:val="24"/>
                <w:szCs w:val="24"/>
                <w:highlight w:val="none"/>
              </w:rPr>
            </w:pPr>
          </w:p>
        </w:tc>
        <w:tc>
          <w:tcPr>
            <w:tcW w:w="2883" w:type="dxa"/>
            <w:noWrap w:val="0"/>
            <w:vAlign w:val="top"/>
          </w:tcPr>
          <w:p w14:paraId="58BD1BA2">
            <w:pPr>
              <w:jc w:val="center"/>
              <w:rPr>
                <w:rFonts w:hint="eastAsia" w:ascii="宋体" w:hAnsi="宋体"/>
                <w:color w:val="auto"/>
                <w:sz w:val="24"/>
                <w:szCs w:val="24"/>
                <w:highlight w:val="none"/>
              </w:rPr>
            </w:pPr>
          </w:p>
        </w:tc>
        <w:tc>
          <w:tcPr>
            <w:tcW w:w="1302" w:type="dxa"/>
            <w:noWrap w:val="0"/>
            <w:vAlign w:val="top"/>
          </w:tcPr>
          <w:p w14:paraId="7A077B6A">
            <w:pPr>
              <w:jc w:val="center"/>
              <w:rPr>
                <w:rFonts w:hint="eastAsia" w:ascii="宋体" w:hAnsi="宋体"/>
                <w:color w:val="auto"/>
                <w:sz w:val="24"/>
                <w:szCs w:val="24"/>
                <w:highlight w:val="none"/>
              </w:rPr>
            </w:pPr>
          </w:p>
        </w:tc>
        <w:tc>
          <w:tcPr>
            <w:tcW w:w="1614" w:type="dxa"/>
            <w:noWrap w:val="0"/>
            <w:vAlign w:val="top"/>
          </w:tcPr>
          <w:p w14:paraId="7B88AACA">
            <w:pPr>
              <w:jc w:val="center"/>
              <w:rPr>
                <w:rFonts w:hint="eastAsia" w:ascii="宋体" w:hAnsi="宋体"/>
                <w:color w:val="auto"/>
                <w:sz w:val="24"/>
                <w:szCs w:val="24"/>
                <w:highlight w:val="none"/>
              </w:rPr>
            </w:pPr>
          </w:p>
        </w:tc>
      </w:tr>
      <w:tr w14:paraId="31707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683F5D71">
            <w:pPr>
              <w:jc w:val="center"/>
              <w:rPr>
                <w:rFonts w:hint="eastAsia" w:ascii="宋体" w:hAnsi="宋体"/>
                <w:color w:val="auto"/>
                <w:sz w:val="24"/>
                <w:szCs w:val="24"/>
                <w:highlight w:val="none"/>
              </w:rPr>
            </w:pPr>
          </w:p>
        </w:tc>
        <w:tc>
          <w:tcPr>
            <w:tcW w:w="2688" w:type="dxa"/>
            <w:noWrap w:val="0"/>
            <w:vAlign w:val="top"/>
          </w:tcPr>
          <w:p w14:paraId="7BA0D74B">
            <w:pPr>
              <w:jc w:val="center"/>
              <w:rPr>
                <w:rFonts w:hint="eastAsia" w:ascii="宋体" w:hAnsi="宋体"/>
                <w:color w:val="auto"/>
                <w:sz w:val="24"/>
                <w:szCs w:val="24"/>
                <w:highlight w:val="none"/>
              </w:rPr>
            </w:pPr>
          </w:p>
        </w:tc>
        <w:tc>
          <w:tcPr>
            <w:tcW w:w="2883" w:type="dxa"/>
            <w:noWrap w:val="0"/>
            <w:vAlign w:val="top"/>
          </w:tcPr>
          <w:p w14:paraId="2E93A2E5">
            <w:pPr>
              <w:jc w:val="center"/>
              <w:rPr>
                <w:rFonts w:hint="eastAsia" w:ascii="宋体" w:hAnsi="宋体"/>
                <w:color w:val="auto"/>
                <w:sz w:val="24"/>
                <w:szCs w:val="24"/>
                <w:highlight w:val="none"/>
              </w:rPr>
            </w:pPr>
          </w:p>
        </w:tc>
        <w:tc>
          <w:tcPr>
            <w:tcW w:w="1302" w:type="dxa"/>
            <w:noWrap w:val="0"/>
            <w:vAlign w:val="top"/>
          </w:tcPr>
          <w:p w14:paraId="2B719558">
            <w:pPr>
              <w:jc w:val="center"/>
              <w:rPr>
                <w:rFonts w:hint="eastAsia" w:ascii="宋体" w:hAnsi="宋体"/>
                <w:color w:val="auto"/>
                <w:sz w:val="24"/>
                <w:szCs w:val="24"/>
                <w:highlight w:val="none"/>
              </w:rPr>
            </w:pPr>
          </w:p>
        </w:tc>
        <w:tc>
          <w:tcPr>
            <w:tcW w:w="1614" w:type="dxa"/>
            <w:noWrap w:val="0"/>
            <w:vAlign w:val="top"/>
          </w:tcPr>
          <w:p w14:paraId="6D7CA873">
            <w:pPr>
              <w:jc w:val="center"/>
              <w:rPr>
                <w:rFonts w:hint="eastAsia" w:ascii="宋体" w:hAnsi="宋体"/>
                <w:color w:val="auto"/>
                <w:sz w:val="24"/>
                <w:szCs w:val="24"/>
                <w:highlight w:val="none"/>
              </w:rPr>
            </w:pPr>
          </w:p>
        </w:tc>
      </w:tr>
      <w:tr w14:paraId="4C968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7F32F76D">
            <w:pPr>
              <w:jc w:val="center"/>
              <w:rPr>
                <w:rFonts w:hint="eastAsia" w:ascii="宋体" w:hAnsi="宋体"/>
                <w:color w:val="auto"/>
                <w:sz w:val="24"/>
                <w:szCs w:val="24"/>
                <w:highlight w:val="none"/>
              </w:rPr>
            </w:pPr>
          </w:p>
        </w:tc>
        <w:tc>
          <w:tcPr>
            <w:tcW w:w="2688" w:type="dxa"/>
            <w:noWrap w:val="0"/>
            <w:vAlign w:val="top"/>
          </w:tcPr>
          <w:p w14:paraId="2DD41A1A">
            <w:pPr>
              <w:jc w:val="center"/>
              <w:rPr>
                <w:rFonts w:hint="eastAsia" w:ascii="宋体" w:hAnsi="宋体"/>
                <w:color w:val="auto"/>
                <w:sz w:val="24"/>
                <w:szCs w:val="24"/>
                <w:highlight w:val="none"/>
              </w:rPr>
            </w:pPr>
          </w:p>
        </w:tc>
        <w:tc>
          <w:tcPr>
            <w:tcW w:w="2883" w:type="dxa"/>
            <w:noWrap w:val="0"/>
            <w:vAlign w:val="top"/>
          </w:tcPr>
          <w:p w14:paraId="25ADF136">
            <w:pPr>
              <w:jc w:val="center"/>
              <w:rPr>
                <w:rFonts w:hint="eastAsia" w:ascii="宋体" w:hAnsi="宋体"/>
                <w:color w:val="auto"/>
                <w:sz w:val="24"/>
                <w:szCs w:val="24"/>
                <w:highlight w:val="none"/>
              </w:rPr>
            </w:pPr>
          </w:p>
        </w:tc>
        <w:tc>
          <w:tcPr>
            <w:tcW w:w="1302" w:type="dxa"/>
            <w:noWrap w:val="0"/>
            <w:vAlign w:val="top"/>
          </w:tcPr>
          <w:p w14:paraId="42157C1A">
            <w:pPr>
              <w:jc w:val="center"/>
              <w:rPr>
                <w:rFonts w:hint="eastAsia" w:ascii="宋体" w:hAnsi="宋体"/>
                <w:color w:val="auto"/>
                <w:sz w:val="24"/>
                <w:szCs w:val="24"/>
                <w:highlight w:val="none"/>
              </w:rPr>
            </w:pPr>
          </w:p>
        </w:tc>
        <w:tc>
          <w:tcPr>
            <w:tcW w:w="1614" w:type="dxa"/>
            <w:noWrap w:val="0"/>
            <w:vAlign w:val="top"/>
          </w:tcPr>
          <w:p w14:paraId="142CE988">
            <w:pPr>
              <w:jc w:val="center"/>
              <w:rPr>
                <w:rFonts w:hint="eastAsia" w:ascii="宋体" w:hAnsi="宋体"/>
                <w:color w:val="auto"/>
                <w:sz w:val="24"/>
                <w:szCs w:val="24"/>
                <w:highlight w:val="none"/>
              </w:rPr>
            </w:pPr>
          </w:p>
        </w:tc>
      </w:tr>
    </w:tbl>
    <w:p w14:paraId="07B32828">
      <w:pPr>
        <w:rPr>
          <w:rFonts w:hint="eastAsia" w:ascii="宋体" w:hAnsi="宋体"/>
          <w:color w:val="auto"/>
          <w:sz w:val="24"/>
          <w:szCs w:val="24"/>
          <w:highlight w:val="none"/>
        </w:rPr>
      </w:pPr>
      <w:r>
        <w:rPr>
          <w:rFonts w:hint="eastAsia" w:ascii="宋体" w:hAnsi="宋体"/>
          <w:color w:val="auto"/>
          <w:sz w:val="24"/>
          <w:szCs w:val="24"/>
          <w:highlight w:val="none"/>
        </w:rPr>
        <w:t>注： 行数不够，可自行添加。</w:t>
      </w:r>
    </w:p>
    <w:p w14:paraId="3DC7A5BD">
      <w:pPr>
        <w:spacing w:line="480" w:lineRule="auto"/>
        <w:rPr>
          <w:rFonts w:hint="eastAsia" w:ascii="宋体" w:hAnsi="宋体"/>
          <w:color w:val="auto"/>
          <w:sz w:val="24"/>
          <w:highlight w:val="none"/>
        </w:rPr>
      </w:pPr>
    </w:p>
    <w:p w14:paraId="316236E1">
      <w:pPr>
        <w:spacing w:line="480" w:lineRule="auto"/>
        <w:rPr>
          <w:rFonts w:hint="eastAsia"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（盖章）：</w:t>
      </w:r>
    </w:p>
    <w:p w14:paraId="0D4A79E8">
      <w:pPr>
        <w:spacing w:line="480" w:lineRule="auto"/>
        <w:rPr>
          <w:rFonts w:hint="eastAsia" w:ascii="宋体" w:hAnsi="宋体"/>
          <w:color w:val="auto"/>
          <w:sz w:val="24"/>
          <w:highlight w:val="none"/>
        </w:rPr>
      </w:pPr>
      <w:r>
        <w:rPr>
          <w:rFonts w:hint="eastAsia" w:ascii="宋体" w:hAnsi="宋体"/>
          <w:color w:val="auto"/>
          <w:sz w:val="24"/>
          <w:highlight w:val="none"/>
        </w:rPr>
        <w:t>法定代表人或委托代理人（签字或盖章）：</w:t>
      </w:r>
    </w:p>
    <w:p w14:paraId="66C99DEF">
      <w:pPr>
        <w:spacing w:line="480" w:lineRule="auto"/>
        <w:rPr>
          <w:rFonts w:hint="eastAsia" w:ascii="仿宋_GB2312" w:hAnsi="Arial"/>
          <w:color w:val="auto"/>
          <w:sz w:val="30"/>
          <w:highlight w:val="none"/>
        </w:rPr>
      </w:pPr>
      <w:r>
        <w:rPr>
          <w:rFonts w:hint="eastAsia" w:ascii="宋体" w:hAnsi="宋体"/>
          <w:color w:val="auto"/>
          <w:sz w:val="24"/>
          <w:highlight w:val="none"/>
        </w:rPr>
        <w:t>日期：    年     月     日</w:t>
      </w:r>
    </w:p>
    <w:p w14:paraId="09E01876">
      <w:pPr>
        <w:pStyle w:val="188"/>
        <w:ind w:firstLine="0"/>
        <w:rPr>
          <w:rFonts w:hint="eastAsia" w:ascii="宋体" w:hAnsi="宋体"/>
          <w:color w:val="auto"/>
          <w:sz w:val="24"/>
          <w:highlight w:val="none"/>
        </w:rPr>
      </w:pPr>
      <w:bookmarkStart w:id="266" w:name="_Hlt26671374"/>
      <w:bookmarkEnd w:id="266"/>
      <w:bookmarkStart w:id="267" w:name="_Hlt26955066"/>
      <w:bookmarkEnd w:id="267"/>
      <w:bookmarkStart w:id="268" w:name="_Hlt26609389"/>
      <w:bookmarkEnd w:id="268"/>
      <w:bookmarkStart w:id="269" w:name="_Toc462564146"/>
    </w:p>
    <w:bookmarkEnd w:id="236"/>
    <w:bookmarkEnd w:id="237"/>
    <w:bookmarkEnd w:id="269"/>
    <w:p w14:paraId="4E661AC9">
      <w:pPr>
        <w:jc w:val="center"/>
        <w:rPr>
          <w:rFonts w:hint="eastAsia" w:ascii="黑体" w:hAnsi="黑体" w:eastAsia="黑体"/>
          <w:b/>
          <w:color w:val="auto"/>
          <w:sz w:val="32"/>
          <w:szCs w:val="32"/>
          <w:highlight w:val="none"/>
        </w:rPr>
      </w:pPr>
      <w:bookmarkStart w:id="270" w:name="_格式2__法定代表人授权书"/>
      <w:bookmarkEnd w:id="270"/>
    </w:p>
    <w:p w14:paraId="0ECEEBA3">
      <w:pPr>
        <w:spacing w:line="360" w:lineRule="auto"/>
        <w:ind w:firstLine="480"/>
        <w:rPr>
          <w:rFonts w:hint="eastAsia" w:ascii="宋体" w:hAnsi="宋体"/>
          <w:iCs/>
          <w:color w:val="auto"/>
          <w:sz w:val="24"/>
          <w:highlight w:val="none"/>
        </w:rPr>
      </w:pPr>
    </w:p>
    <w:p w14:paraId="6AF43397">
      <w:pPr>
        <w:jc w:val="center"/>
        <w:rPr>
          <w:rFonts w:hint="eastAsia" w:ascii="黑体" w:hAnsi="黑体" w:eastAsia="黑体"/>
          <w:b/>
          <w:color w:val="auto"/>
          <w:sz w:val="32"/>
          <w:szCs w:val="32"/>
          <w:highlight w:val="none"/>
        </w:rPr>
      </w:pPr>
    </w:p>
    <w:p w14:paraId="3511D926">
      <w:pPr>
        <w:jc w:val="center"/>
        <w:rPr>
          <w:rFonts w:hint="eastAsia" w:ascii="黑体" w:hAnsi="黑体" w:eastAsia="黑体" w:cs="Times New Roman"/>
          <w:iCs/>
          <w:color w:val="auto"/>
          <w:sz w:val="32"/>
          <w:szCs w:val="32"/>
          <w:highlight w:val="none"/>
          <w:u w:val="single"/>
        </w:rPr>
      </w:pPr>
      <w:r>
        <w:rPr>
          <w:rFonts w:hint="eastAsia" w:ascii="黑体" w:hAnsi="黑体" w:eastAsia="黑体" w:cs="Times New Roman"/>
          <w:iCs/>
          <w:color w:val="auto"/>
          <w:sz w:val="32"/>
          <w:szCs w:val="32"/>
          <w:highlight w:val="none"/>
          <w:u w:val="single"/>
        </w:rPr>
        <w:br w:type="page" w:clear="all"/>
      </w:r>
      <w:r>
        <w:rPr>
          <w:rFonts w:hint="eastAsia" w:ascii="黑体" w:hAnsi="黑体" w:eastAsia="黑体" w:cs="Times New Roman"/>
          <w:iCs/>
          <w:color w:val="auto"/>
          <w:sz w:val="32"/>
          <w:szCs w:val="32"/>
          <w:highlight w:val="none"/>
          <w:u w:val="single"/>
        </w:rPr>
        <w:t>十</w:t>
      </w:r>
      <w:r>
        <w:rPr>
          <w:rFonts w:hint="eastAsia" w:ascii="黑体" w:hAnsi="黑体" w:eastAsia="黑体" w:cs="Times New Roman"/>
          <w:iCs/>
          <w:color w:val="auto"/>
          <w:sz w:val="32"/>
          <w:szCs w:val="32"/>
          <w:highlight w:val="none"/>
          <w:u w:val="single"/>
          <w:lang w:val="en-US" w:eastAsia="zh-CN"/>
        </w:rPr>
        <w:t>三</w:t>
      </w:r>
      <w:r>
        <w:rPr>
          <w:rFonts w:hint="eastAsia" w:ascii="黑体" w:hAnsi="黑体" w:eastAsia="黑体" w:cs="Times New Roman"/>
          <w:iCs/>
          <w:color w:val="auto"/>
          <w:sz w:val="32"/>
          <w:szCs w:val="32"/>
          <w:highlight w:val="none"/>
          <w:u w:val="single"/>
        </w:rPr>
        <w:t>、商务要求响应及偏离表</w:t>
      </w:r>
    </w:p>
    <w:tbl>
      <w:tblPr>
        <w:tblStyle w:val="3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3069"/>
        <w:gridCol w:w="2502"/>
        <w:gridCol w:w="1302"/>
        <w:gridCol w:w="1614"/>
      </w:tblGrid>
      <w:tr w14:paraId="3C0D8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ign w:val="center"/>
          </w:tcPr>
          <w:p w14:paraId="13704AAB">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3069" w:type="dxa"/>
            <w:noWrap/>
            <w:vAlign w:val="center"/>
          </w:tcPr>
          <w:p w14:paraId="0D32247C">
            <w:pPr>
              <w:jc w:val="center"/>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2502" w:type="dxa"/>
            <w:noWrap/>
            <w:vAlign w:val="center"/>
          </w:tcPr>
          <w:p w14:paraId="302AB87D">
            <w:pPr>
              <w:jc w:val="center"/>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1302" w:type="dxa"/>
            <w:noWrap/>
            <w:vAlign w:val="center"/>
          </w:tcPr>
          <w:p w14:paraId="10CCB903">
            <w:pPr>
              <w:jc w:val="center"/>
              <w:rPr>
                <w:rFonts w:ascii="宋体" w:hAnsi="宋体"/>
                <w:color w:val="auto"/>
                <w:sz w:val="24"/>
                <w:szCs w:val="24"/>
                <w:highlight w:val="none"/>
              </w:rPr>
            </w:pPr>
            <w:r>
              <w:rPr>
                <w:rFonts w:hint="eastAsia" w:ascii="宋体" w:hAnsi="宋体"/>
                <w:color w:val="auto"/>
                <w:sz w:val="24"/>
                <w:szCs w:val="24"/>
                <w:highlight w:val="none"/>
              </w:rPr>
              <w:t>超出、符合或偏离</w:t>
            </w:r>
          </w:p>
        </w:tc>
        <w:tc>
          <w:tcPr>
            <w:tcW w:w="1614" w:type="dxa"/>
            <w:noWrap/>
            <w:vAlign w:val="center"/>
          </w:tcPr>
          <w:p w14:paraId="26359ADE">
            <w:pPr>
              <w:jc w:val="center"/>
              <w:rPr>
                <w:rFonts w:ascii="宋体" w:hAnsi="宋体"/>
                <w:color w:val="auto"/>
                <w:sz w:val="24"/>
                <w:szCs w:val="24"/>
                <w:highlight w:val="none"/>
              </w:rPr>
            </w:pPr>
            <w:r>
              <w:rPr>
                <w:rFonts w:hint="eastAsia" w:ascii="宋体" w:hAnsi="宋体"/>
                <w:color w:val="auto"/>
                <w:sz w:val="24"/>
                <w:szCs w:val="24"/>
                <w:highlight w:val="none"/>
              </w:rPr>
              <w:t>证明</w:t>
            </w:r>
          </w:p>
          <w:p w14:paraId="4A149680">
            <w:pPr>
              <w:jc w:val="center"/>
              <w:rPr>
                <w:rFonts w:ascii="宋体" w:hAnsi="宋体"/>
                <w:color w:val="auto"/>
                <w:sz w:val="24"/>
                <w:szCs w:val="24"/>
                <w:highlight w:val="none"/>
              </w:rPr>
            </w:pPr>
            <w:r>
              <w:rPr>
                <w:rFonts w:hint="eastAsia" w:ascii="宋体" w:hAnsi="宋体"/>
                <w:color w:val="auto"/>
                <w:sz w:val="24"/>
                <w:szCs w:val="24"/>
                <w:highlight w:val="none"/>
              </w:rPr>
              <w:t>材料</w:t>
            </w:r>
          </w:p>
        </w:tc>
      </w:tr>
      <w:tr w14:paraId="2919E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74D4486B">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w:t>
            </w:r>
          </w:p>
        </w:tc>
        <w:tc>
          <w:tcPr>
            <w:tcW w:w="3069" w:type="dxa"/>
            <w:noWrap/>
            <w:vAlign w:val="top"/>
          </w:tcPr>
          <w:p w14:paraId="29B9A225">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合同履行期限（服务期限）：2025年-2026年学年（具体以采购人指定要求为准）</w:t>
            </w:r>
          </w:p>
        </w:tc>
        <w:tc>
          <w:tcPr>
            <w:tcW w:w="2502" w:type="dxa"/>
            <w:noWrap/>
            <w:vAlign w:val="top"/>
          </w:tcPr>
          <w:p w14:paraId="07848140">
            <w:pPr>
              <w:jc w:val="center"/>
              <w:rPr>
                <w:rFonts w:ascii="宋体" w:hAnsi="宋体"/>
                <w:color w:val="auto"/>
                <w:sz w:val="24"/>
                <w:szCs w:val="24"/>
                <w:highlight w:val="none"/>
              </w:rPr>
            </w:pPr>
          </w:p>
        </w:tc>
        <w:tc>
          <w:tcPr>
            <w:tcW w:w="1302" w:type="dxa"/>
            <w:noWrap/>
            <w:vAlign w:val="top"/>
          </w:tcPr>
          <w:p w14:paraId="53978372">
            <w:pPr>
              <w:jc w:val="center"/>
              <w:rPr>
                <w:rFonts w:ascii="宋体" w:hAnsi="宋体"/>
                <w:color w:val="auto"/>
                <w:sz w:val="24"/>
                <w:szCs w:val="24"/>
                <w:highlight w:val="none"/>
              </w:rPr>
            </w:pPr>
          </w:p>
        </w:tc>
        <w:tc>
          <w:tcPr>
            <w:tcW w:w="1614" w:type="dxa"/>
            <w:noWrap/>
            <w:vAlign w:val="top"/>
          </w:tcPr>
          <w:p w14:paraId="6E9B0BD8">
            <w:pPr>
              <w:jc w:val="center"/>
              <w:rPr>
                <w:rFonts w:ascii="宋体" w:hAnsi="宋体"/>
                <w:color w:val="auto"/>
                <w:sz w:val="24"/>
                <w:szCs w:val="24"/>
                <w:highlight w:val="none"/>
              </w:rPr>
            </w:pPr>
          </w:p>
        </w:tc>
      </w:tr>
      <w:tr w14:paraId="12D27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03395776">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p>
        </w:tc>
        <w:tc>
          <w:tcPr>
            <w:tcW w:w="3069" w:type="dxa"/>
            <w:noWrap/>
            <w:vAlign w:val="top"/>
          </w:tcPr>
          <w:p w14:paraId="18357045">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如因采购人需求调整、政策变化、不可抗力等原因，导致本项目中部分内容无需实施的，供应商统一按照实际发生量进行结算。</w:t>
            </w:r>
          </w:p>
        </w:tc>
        <w:tc>
          <w:tcPr>
            <w:tcW w:w="2502" w:type="dxa"/>
            <w:noWrap/>
            <w:vAlign w:val="top"/>
          </w:tcPr>
          <w:p w14:paraId="2D042FC7">
            <w:pPr>
              <w:jc w:val="center"/>
              <w:rPr>
                <w:rFonts w:ascii="宋体" w:hAnsi="宋体"/>
                <w:color w:val="auto"/>
                <w:sz w:val="24"/>
                <w:szCs w:val="24"/>
                <w:highlight w:val="none"/>
              </w:rPr>
            </w:pPr>
          </w:p>
        </w:tc>
        <w:tc>
          <w:tcPr>
            <w:tcW w:w="1302" w:type="dxa"/>
            <w:noWrap/>
            <w:vAlign w:val="top"/>
          </w:tcPr>
          <w:p w14:paraId="5B0C11EF">
            <w:pPr>
              <w:jc w:val="center"/>
              <w:rPr>
                <w:rFonts w:ascii="宋体" w:hAnsi="宋体"/>
                <w:color w:val="auto"/>
                <w:sz w:val="24"/>
                <w:szCs w:val="24"/>
                <w:highlight w:val="none"/>
              </w:rPr>
            </w:pPr>
          </w:p>
        </w:tc>
        <w:tc>
          <w:tcPr>
            <w:tcW w:w="1614" w:type="dxa"/>
            <w:noWrap/>
            <w:vAlign w:val="top"/>
          </w:tcPr>
          <w:p w14:paraId="0188A284">
            <w:pPr>
              <w:jc w:val="center"/>
              <w:rPr>
                <w:rFonts w:ascii="宋体" w:hAnsi="宋体"/>
                <w:color w:val="auto"/>
                <w:sz w:val="24"/>
                <w:szCs w:val="24"/>
                <w:highlight w:val="none"/>
              </w:rPr>
            </w:pPr>
          </w:p>
        </w:tc>
      </w:tr>
      <w:tr w14:paraId="06F59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2F2FECFE">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p>
        </w:tc>
        <w:tc>
          <w:tcPr>
            <w:tcW w:w="3069" w:type="dxa"/>
            <w:noWrap/>
            <w:vAlign w:val="top"/>
          </w:tcPr>
          <w:p w14:paraId="1A35AF1E">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p>
        </w:tc>
        <w:tc>
          <w:tcPr>
            <w:tcW w:w="2502" w:type="dxa"/>
            <w:noWrap/>
            <w:vAlign w:val="top"/>
          </w:tcPr>
          <w:p w14:paraId="492387B7">
            <w:pPr>
              <w:jc w:val="center"/>
              <w:rPr>
                <w:rFonts w:ascii="宋体" w:hAnsi="宋体"/>
                <w:color w:val="auto"/>
                <w:sz w:val="24"/>
                <w:szCs w:val="24"/>
                <w:highlight w:val="none"/>
              </w:rPr>
            </w:pPr>
          </w:p>
        </w:tc>
        <w:tc>
          <w:tcPr>
            <w:tcW w:w="1302" w:type="dxa"/>
            <w:noWrap/>
            <w:vAlign w:val="top"/>
          </w:tcPr>
          <w:p w14:paraId="3E618CD4">
            <w:pPr>
              <w:jc w:val="center"/>
              <w:rPr>
                <w:rFonts w:ascii="宋体" w:hAnsi="宋体"/>
                <w:color w:val="auto"/>
                <w:sz w:val="24"/>
                <w:szCs w:val="24"/>
                <w:highlight w:val="none"/>
              </w:rPr>
            </w:pPr>
          </w:p>
        </w:tc>
        <w:tc>
          <w:tcPr>
            <w:tcW w:w="1614" w:type="dxa"/>
            <w:noWrap/>
            <w:vAlign w:val="top"/>
          </w:tcPr>
          <w:p w14:paraId="0566C92B">
            <w:pPr>
              <w:jc w:val="center"/>
              <w:rPr>
                <w:rFonts w:ascii="宋体" w:hAnsi="宋体"/>
                <w:color w:val="auto"/>
                <w:sz w:val="24"/>
                <w:szCs w:val="24"/>
                <w:highlight w:val="none"/>
              </w:rPr>
            </w:pPr>
          </w:p>
        </w:tc>
      </w:tr>
      <w:tr w14:paraId="6E153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79CDC1FF">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w:t>
            </w:r>
          </w:p>
        </w:tc>
        <w:tc>
          <w:tcPr>
            <w:tcW w:w="3069" w:type="dxa"/>
            <w:noWrap/>
            <w:vAlign w:val="top"/>
          </w:tcPr>
          <w:p w14:paraId="79164936">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投标文件中必须提供以上拟投入的承运车辆数量、车辆安全检测报告、车牌号、车辆行驶证、保险、驾驶员姓名、符合车型的驾驶员证件、劳动（务）合同、社保缴费证明等，</w:t>
            </w:r>
            <w:r>
              <w:rPr>
                <w:rFonts w:hint="eastAsia" w:ascii="宋体" w:hAnsi="宋体"/>
                <w:b/>
                <w:bCs/>
                <w:color w:val="auto"/>
                <w:sz w:val="24"/>
                <w:szCs w:val="24"/>
                <w:highlight w:val="none"/>
                <w:lang w:val="en-US" w:eastAsia="zh-CN"/>
              </w:rPr>
              <w:t>供应商在投标响应时据实列出清单并提供相关佐证。</w:t>
            </w:r>
          </w:p>
        </w:tc>
        <w:tc>
          <w:tcPr>
            <w:tcW w:w="2502" w:type="dxa"/>
            <w:noWrap/>
            <w:vAlign w:val="top"/>
          </w:tcPr>
          <w:p w14:paraId="0AB1FAF5">
            <w:pPr>
              <w:jc w:val="center"/>
              <w:rPr>
                <w:rFonts w:ascii="宋体" w:hAnsi="宋体"/>
                <w:color w:val="auto"/>
                <w:sz w:val="24"/>
                <w:szCs w:val="24"/>
                <w:highlight w:val="none"/>
              </w:rPr>
            </w:pPr>
          </w:p>
        </w:tc>
        <w:tc>
          <w:tcPr>
            <w:tcW w:w="1302" w:type="dxa"/>
            <w:noWrap/>
            <w:vAlign w:val="top"/>
          </w:tcPr>
          <w:p w14:paraId="3B2DD704">
            <w:pPr>
              <w:jc w:val="center"/>
              <w:rPr>
                <w:rFonts w:ascii="宋体" w:hAnsi="宋体"/>
                <w:color w:val="auto"/>
                <w:sz w:val="24"/>
                <w:szCs w:val="24"/>
                <w:highlight w:val="none"/>
              </w:rPr>
            </w:pPr>
          </w:p>
        </w:tc>
        <w:tc>
          <w:tcPr>
            <w:tcW w:w="1614" w:type="dxa"/>
            <w:noWrap/>
            <w:vAlign w:val="top"/>
          </w:tcPr>
          <w:p w14:paraId="33B42E95">
            <w:pPr>
              <w:jc w:val="center"/>
              <w:rPr>
                <w:rFonts w:ascii="宋体" w:hAnsi="宋体"/>
                <w:color w:val="auto"/>
                <w:sz w:val="24"/>
                <w:szCs w:val="24"/>
                <w:highlight w:val="none"/>
              </w:rPr>
            </w:pPr>
          </w:p>
        </w:tc>
      </w:tr>
      <w:tr w14:paraId="3A4B9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32BE1D10">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3069" w:type="dxa"/>
            <w:noWrap/>
            <w:vAlign w:val="top"/>
          </w:tcPr>
          <w:p w14:paraId="7CA756CB">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中标人不得将合同标的进行转包</w:t>
            </w:r>
          </w:p>
        </w:tc>
        <w:tc>
          <w:tcPr>
            <w:tcW w:w="2502" w:type="dxa"/>
            <w:noWrap/>
            <w:vAlign w:val="top"/>
          </w:tcPr>
          <w:p w14:paraId="591E495E">
            <w:pPr>
              <w:jc w:val="center"/>
              <w:rPr>
                <w:rFonts w:ascii="宋体" w:hAnsi="宋体"/>
                <w:color w:val="auto"/>
                <w:sz w:val="24"/>
                <w:szCs w:val="24"/>
                <w:highlight w:val="none"/>
              </w:rPr>
            </w:pPr>
          </w:p>
        </w:tc>
        <w:tc>
          <w:tcPr>
            <w:tcW w:w="1302" w:type="dxa"/>
            <w:noWrap/>
            <w:vAlign w:val="top"/>
          </w:tcPr>
          <w:p w14:paraId="244F6E25">
            <w:pPr>
              <w:jc w:val="center"/>
              <w:rPr>
                <w:rFonts w:ascii="宋体" w:hAnsi="宋体"/>
                <w:color w:val="auto"/>
                <w:sz w:val="24"/>
                <w:szCs w:val="24"/>
                <w:highlight w:val="none"/>
              </w:rPr>
            </w:pPr>
          </w:p>
        </w:tc>
        <w:tc>
          <w:tcPr>
            <w:tcW w:w="1614" w:type="dxa"/>
            <w:noWrap/>
            <w:vAlign w:val="top"/>
          </w:tcPr>
          <w:p w14:paraId="3BA26624">
            <w:pPr>
              <w:jc w:val="center"/>
              <w:rPr>
                <w:rFonts w:ascii="宋体" w:hAnsi="宋体"/>
                <w:color w:val="auto"/>
                <w:sz w:val="24"/>
                <w:szCs w:val="24"/>
                <w:highlight w:val="none"/>
              </w:rPr>
            </w:pPr>
          </w:p>
        </w:tc>
      </w:tr>
      <w:tr w14:paraId="346BC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7F964662">
            <w:pPr>
              <w:jc w:val="center"/>
              <w:rPr>
                <w:rFonts w:ascii="宋体" w:hAnsi="宋体"/>
                <w:color w:val="auto"/>
                <w:sz w:val="24"/>
                <w:szCs w:val="24"/>
                <w:highlight w:val="none"/>
              </w:rPr>
            </w:pPr>
          </w:p>
        </w:tc>
        <w:tc>
          <w:tcPr>
            <w:tcW w:w="3069" w:type="dxa"/>
            <w:noWrap/>
            <w:vAlign w:val="top"/>
          </w:tcPr>
          <w:p w14:paraId="26026407">
            <w:pPr>
              <w:jc w:val="center"/>
              <w:rPr>
                <w:rFonts w:ascii="宋体" w:hAnsi="宋体"/>
                <w:color w:val="auto"/>
                <w:sz w:val="24"/>
                <w:szCs w:val="24"/>
                <w:highlight w:val="none"/>
              </w:rPr>
            </w:pPr>
          </w:p>
        </w:tc>
        <w:tc>
          <w:tcPr>
            <w:tcW w:w="2502" w:type="dxa"/>
            <w:noWrap/>
            <w:vAlign w:val="top"/>
          </w:tcPr>
          <w:p w14:paraId="0C67A6B5">
            <w:pPr>
              <w:jc w:val="center"/>
              <w:rPr>
                <w:rFonts w:ascii="宋体" w:hAnsi="宋体"/>
                <w:color w:val="auto"/>
                <w:sz w:val="24"/>
                <w:szCs w:val="24"/>
                <w:highlight w:val="none"/>
              </w:rPr>
            </w:pPr>
          </w:p>
        </w:tc>
        <w:tc>
          <w:tcPr>
            <w:tcW w:w="1302" w:type="dxa"/>
            <w:noWrap/>
            <w:vAlign w:val="top"/>
          </w:tcPr>
          <w:p w14:paraId="18C0A379">
            <w:pPr>
              <w:jc w:val="center"/>
              <w:rPr>
                <w:rFonts w:ascii="宋体" w:hAnsi="宋体"/>
                <w:color w:val="auto"/>
                <w:sz w:val="24"/>
                <w:szCs w:val="24"/>
                <w:highlight w:val="none"/>
              </w:rPr>
            </w:pPr>
          </w:p>
        </w:tc>
        <w:tc>
          <w:tcPr>
            <w:tcW w:w="1614" w:type="dxa"/>
            <w:noWrap/>
            <w:vAlign w:val="top"/>
          </w:tcPr>
          <w:p w14:paraId="1AD0272A">
            <w:pPr>
              <w:jc w:val="center"/>
              <w:rPr>
                <w:rFonts w:ascii="宋体" w:hAnsi="宋体"/>
                <w:color w:val="auto"/>
                <w:sz w:val="24"/>
                <w:szCs w:val="24"/>
                <w:highlight w:val="none"/>
              </w:rPr>
            </w:pPr>
          </w:p>
        </w:tc>
      </w:tr>
      <w:tr w14:paraId="37EA9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23FFA829">
            <w:pPr>
              <w:jc w:val="center"/>
              <w:rPr>
                <w:rFonts w:ascii="宋体" w:hAnsi="宋体"/>
                <w:color w:val="auto"/>
                <w:sz w:val="24"/>
                <w:szCs w:val="24"/>
                <w:highlight w:val="none"/>
              </w:rPr>
            </w:pPr>
          </w:p>
        </w:tc>
        <w:tc>
          <w:tcPr>
            <w:tcW w:w="3069" w:type="dxa"/>
            <w:noWrap/>
            <w:vAlign w:val="top"/>
          </w:tcPr>
          <w:p w14:paraId="4F31434C">
            <w:pPr>
              <w:jc w:val="center"/>
              <w:rPr>
                <w:rFonts w:ascii="宋体" w:hAnsi="宋体"/>
                <w:color w:val="auto"/>
                <w:sz w:val="24"/>
                <w:szCs w:val="24"/>
                <w:highlight w:val="none"/>
              </w:rPr>
            </w:pPr>
          </w:p>
        </w:tc>
        <w:tc>
          <w:tcPr>
            <w:tcW w:w="2502" w:type="dxa"/>
            <w:noWrap/>
            <w:vAlign w:val="top"/>
          </w:tcPr>
          <w:p w14:paraId="446E4043">
            <w:pPr>
              <w:jc w:val="center"/>
              <w:rPr>
                <w:rFonts w:ascii="宋体" w:hAnsi="宋体"/>
                <w:color w:val="auto"/>
                <w:sz w:val="24"/>
                <w:szCs w:val="24"/>
                <w:highlight w:val="none"/>
              </w:rPr>
            </w:pPr>
          </w:p>
        </w:tc>
        <w:tc>
          <w:tcPr>
            <w:tcW w:w="1302" w:type="dxa"/>
            <w:noWrap/>
            <w:vAlign w:val="top"/>
          </w:tcPr>
          <w:p w14:paraId="7CA9B2E9">
            <w:pPr>
              <w:jc w:val="center"/>
              <w:rPr>
                <w:rFonts w:ascii="宋体" w:hAnsi="宋体"/>
                <w:color w:val="auto"/>
                <w:sz w:val="24"/>
                <w:szCs w:val="24"/>
                <w:highlight w:val="none"/>
              </w:rPr>
            </w:pPr>
          </w:p>
        </w:tc>
        <w:tc>
          <w:tcPr>
            <w:tcW w:w="1614" w:type="dxa"/>
            <w:noWrap/>
            <w:vAlign w:val="top"/>
          </w:tcPr>
          <w:p w14:paraId="7D35F210">
            <w:pPr>
              <w:jc w:val="center"/>
              <w:rPr>
                <w:rFonts w:ascii="宋体" w:hAnsi="宋体"/>
                <w:color w:val="auto"/>
                <w:sz w:val="24"/>
                <w:szCs w:val="24"/>
                <w:highlight w:val="none"/>
              </w:rPr>
            </w:pPr>
          </w:p>
        </w:tc>
      </w:tr>
      <w:tr w14:paraId="29632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ign w:val="top"/>
          </w:tcPr>
          <w:p w14:paraId="6534025D">
            <w:pPr>
              <w:jc w:val="center"/>
              <w:rPr>
                <w:rFonts w:ascii="宋体" w:hAnsi="宋体"/>
                <w:color w:val="auto"/>
                <w:sz w:val="24"/>
                <w:szCs w:val="24"/>
                <w:highlight w:val="none"/>
              </w:rPr>
            </w:pPr>
          </w:p>
        </w:tc>
        <w:tc>
          <w:tcPr>
            <w:tcW w:w="3069" w:type="dxa"/>
            <w:noWrap/>
            <w:vAlign w:val="top"/>
          </w:tcPr>
          <w:p w14:paraId="5A764A01">
            <w:pPr>
              <w:jc w:val="center"/>
              <w:rPr>
                <w:rFonts w:ascii="宋体" w:hAnsi="宋体"/>
                <w:color w:val="auto"/>
                <w:sz w:val="24"/>
                <w:szCs w:val="24"/>
                <w:highlight w:val="none"/>
              </w:rPr>
            </w:pPr>
          </w:p>
        </w:tc>
        <w:tc>
          <w:tcPr>
            <w:tcW w:w="2502" w:type="dxa"/>
            <w:noWrap/>
            <w:vAlign w:val="top"/>
          </w:tcPr>
          <w:p w14:paraId="57652723">
            <w:pPr>
              <w:jc w:val="center"/>
              <w:rPr>
                <w:rFonts w:ascii="宋体" w:hAnsi="宋体"/>
                <w:color w:val="auto"/>
                <w:sz w:val="24"/>
                <w:szCs w:val="24"/>
                <w:highlight w:val="none"/>
              </w:rPr>
            </w:pPr>
          </w:p>
        </w:tc>
        <w:tc>
          <w:tcPr>
            <w:tcW w:w="1302" w:type="dxa"/>
            <w:noWrap/>
            <w:vAlign w:val="top"/>
          </w:tcPr>
          <w:p w14:paraId="215DE45D">
            <w:pPr>
              <w:jc w:val="center"/>
              <w:rPr>
                <w:rFonts w:ascii="宋体" w:hAnsi="宋体"/>
                <w:color w:val="auto"/>
                <w:sz w:val="24"/>
                <w:szCs w:val="24"/>
                <w:highlight w:val="none"/>
              </w:rPr>
            </w:pPr>
          </w:p>
        </w:tc>
        <w:tc>
          <w:tcPr>
            <w:tcW w:w="1614" w:type="dxa"/>
            <w:noWrap/>
            <w:vAlign w:val="top"/>
          </w:tcPr>
          <w:p w14:paraId="1F9E629F">
            <w:pPr>
              <w:jc w:val="center"/>
              <w:rPr>
                <w:rFonts w:ascii="宋体" w:hAnsi="宋体"/>
                <w:color w:val="auto"/>
                <w:sz w:val="24"/>
                <w:szCs w:val="24"/>
                <w:highlight w:val="none"/>
              </w:rPr>
            </w:pPr>
          </w:p>
        </w:tc>
      </w:tr>
    </w:tbl>
    <w:p w14:paraId="082A5178">
      <w:pPr>
        <w:rPr>
          <w:rFonts w:hint="eastAsia" w:ascii="黑体" w:hAnsi="黑体" w:eastAsia="黑体"/>
          <w:b/>
          <w:color w:val="auto"/>
          <w:sz w:val="32"/>
          <w:szCs w:val="32"/>
          <w:highlight w:val="none"/>
        </w:rPr>
      </w:pPr>
      <w:r>
        <w:rPr>
          <w:rFonts w:hint="eastAsia" w:ascii="宋体" w:hAnsi="宋体"/>
          <w:color w:val="auto"/>
          <w:sz w:val="24"/>
          <w:szCs w:val="24"/>
          <w:highlight w:val="none"/>
        </w:rPr>
        <w:t>注： 行数不够，可自行添加。</w:t>
      </w:r>
    </w:p>
    <w:p w14:paraId="3BCE5FB7">
      <w:pPr>
        <w:jc w:val="center"/>
        <w:rPr>
          <w:rFonts w:hint="eastAsia"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十</w:t>
      </w:r>
      <w:r>
        <w:rPr>
          <w:rFonts w:hint="eastAsia" w:ascii="黑体" w:hAnsi="黑体" w:eastAsia="黑体"/>
          <w:iCs/>
          <w:color w:val="auto"/>
          <w:sz w:val="32"/>
          <w:szCs w:val="32"/>
          <w:highlight w:val="none"/>
          <w:u w:val="single"/>
          <w:lang w:val="en-US" w:eastAsia="zh-CN"/>
        </w:rPr>
        <w:t>四</w:t>
      </w:r>
      <w:r>
        <w:rPr>
          <w:rFonts w:hint="eastAsia" w:ascii="黑体" w:hAnsi="黑体" w:eastAsia="黑体"/>
          <w:iCs/>
          <w:color w:val="auto"/>
          <w:sz w:val="32"/>
          <w:szCs w:val="32"/>
          <w:highlight w:val="none"/>
          <w:u w:val="single"/>
        </w:rPr>
        <w:t>、开标一览表</w:t>
      </w:r>
    </w:p>
    <w:p w14:paraId="03B22DD8">
      <w:pPr>
        <w:ind w:firstLine="480"/>
        <w:rPr>
          <w:rFonts w:hint="eastAsia" w:ascii="宋体" w:hAnsi="宋体"/>
          <w:color w:val="auto"/>
          <w:sz w:val="24"/>
          <w:szCs w:val="24"/>
          <w:highlight w:val="none"/>
        </w:rPr>
      </w:pPr>
    </w:p>
    <w:p w14:paraId="753FD667">
      <w:pPr>
        <w:ind w:firstLine="480"/>
        <w:rPr>
          <w:rFonts w:ascii="宋体" w:hAnsi="宋体"/>
          <w:color w:val="auto"/>
          <w:sz w:val="24"/>
          <w:szCs w:val="24"/>
          <w:highlight w:val="none"/>
        </w:rPr>
      </w:pPr>
      <w:r>
        <w:rPr>
          <w:rFonts w:hint="eastAsia" w:ascii="宋体" w:hAnsi="宋体"/>
          <w:color w:val="auto"/>
          <w:sz w:val="24"/>
          <w:szCs w:val="24"/>
          <w:highlight w:val="none"/>
        </w:rPr>
        <w:t>项目编号：</w:t>
      </w:r>
    </w:p>
    <w:p w14:paraId="35A1035C">
      <w:pPr>
        <w:ind w:firstLine="480"/>
        <w:rPr>
          <w:rFonts w:hint="eastAsia" w:ascii="宋体" w:hAnsi="宋体"/>
          <w:color w:val="auto"/>
          <w:sz w:val="24"/>
          <w:szCs w:val="24"/>
          <w:highlight w:val="none"/>
        </w:rPr>
      </w:pPr>
      <w:r>
        <w:rPr>
          <w:rFonts w:ascii="宋体" w:hAnsi="宋体" w:eastAsia="宋体" w:cs="宋体"/>
          <w:color w:val="auto"/>
          <w:sz w:val="24"/>
          <w:szCs w:val="24"/>
          <w:highlight w:val="none"/>
        </w:rPr>
        <w:t>货币单位：人民币元</w:t>
      </w:r>
    </w:p>
    <w:tbl>
      <w:tblPr>
        <w:tblStyle w:val="2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56"/>
        <w:gridCol w:w="3056"/>
        <w:gridCol w:w="3057"/>
      </w:tblGrid>
      <w:tr w14:paraId="39288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056" w:type="dxa"/>
            <w:noWrap w:val="0"/>
            <w:vAlign w:val="center"/>
          </w:tcPr>
          <w:p w14:paraId="229873D9">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项目名称</w:t>
            </w:r>
          </w:p>
        </w:tc>
        <w:tc>
          <w:tcPr>
            <w:tcW w:w="3056" w:type="dxa"/>
            <w:noWrap w:val="0"/>
            <w:vAlign w:val="center"/>
          </w:tcPr>
          <w:p w14:paraId="3FB7B759">
            <w:pPr>
              <w:ind w:left="0" w:firstLine="0"/>
              <w:jc w:val="left"/>
              <w:rPr>
                <w:rFonts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项目内容</w:t>
            </w:r>
          </w:p>
        </w:tc>
        <w:tc>
          <w:tcPr>
            <w:tcW w:w="3057" w:type="dxa"/>
            <w:noWrap w:val="0"/>
            <w:vAlign w:val="center"/>
          </w:tcPr>
          <w:p w14:paraId="3397168D">
            <w:pPr>
              <w:ind w:left="0" w:firstLine="0"/>
              <w:jc w:val="both"/>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总价（小写）</w:t>
            </w:r>
          </w:p>
        </w:tc>
      </w:tr>
      <w:tr w14:paraId="31ECE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056" w:type="dxa"/>
            <w:noWrap w:val="0"/>
            <w:vAlign w:val="center"/>
          </w:tcPr>
          <w:p w14:paraId="5816DB3E">
            <w:pPr>
              <w:jc w:val="left"/>
              <w:rPr>
                <w:rFonts w:ascii="宋体" w:hAnsi="宋体" w:eastAsia="宋体" w:cs="Times New Roman"/>
                <w:color w:val="auto"/>
                <w:szCs w:val="24"/>
                <w:highlight w:val="none"/>
                <w:vertAlign w:val="baseline"/>
              </w:rPr>
            </w:pPr>
          </w:p>
        </w:tc>
        <w:tc>
          <w:tcPr>
            <w:tcW w:w="3056" w:type="dxa"/>
            <w:noWrap w:val="0"/>
            <w:vAlign w:val="center"/>
          </w:tcPr>
          <w:p w14:paraId="29AF787B">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详见投标文件</w:t>
            </w:r>
          </w:p>
        </w:tc>
        <w:tc>
          <w:tcPr>
            <w:tcW w:w="3057" w:type="dxa"/>
            <w:noWrap w:val="0"/>
            <w:vAlign w:val="center"/>
          </w:tcPr>
          <w:p w14:paraId="0156887B">
            <w:pPr>
              <w:jc w:val="center"/>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元</w:t>
            </w:r>
          </w:p>
        </w:tc>
      </w:tr>
      <w:tr w14:paraId="68AFF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056" w:type="dxa"/>
            <w:noWrap w:val="0"/>
            <w:vAlign w:val="center"/>
          </w:tcPr>
          <w:p w14:paraId="3EB927FA">
            <w:pPr>
              <w:ind w:left="0" w:firstLine="0"/>
              <w:jc w:val="left"/>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总价（大写）：</w:t>
            </w:r>
          </w:p>
        </w:tc>
        <w:tc>
          <w:tcPr>
            <w:tcW w:w="6113" w:type="dxa"/>
            <w:gridSpan w:val="2"/>
            <w:noWrap w:val="0"/>
            <w:vAlign w:val="center"/>
          </w:tcPr>
          <w:p w14:paraId="246810E2">
            <w:pPr>
              <w:ind w:left="0" w:firstLine="0"/>
              <w:jc w:val="both"/>
              <w:rPr>
                <w:rFonts w:ascii="宋体" w:hAnsi="宋体" w:eastAsia="宋体" w:cs="Times New Roman"/>
                <w:color w:val="auto"/>
                <w:szCs w:val="24"/>
                <w:highlight w:val="none"/>
                <w:vertAlign w:val="baseline"/>
              </w:rPr>
            </w:pPr>
            <w:r>
              <w:rPr>
                <w:rFonts w:hint="eastAsia" w:ascii="宋体" w:hAnsi="宋体" w:eastAsia="宋体" w:cs="Times New Roman"/>
                <w:color w:val="auto"/>
                <w:szCs w:val="24"/>
                <w:highlight w:val="none"/>
                <w:vertAlign w:val="baseline"/>
                <w:lang w:val="en-US" w:eastAsia="zh-CN"/>
              </w:rPr>
              <w:t>金额大写</w:t>
            </w:r>
          </w:p>
        </w:tc>
      </w:tr>
    </w:tbl>
    <w:p w14:paraId="550D4204">
      <w:pPr>
        <w:ind w:firstLine="480"/>
        <w:rPr>
          <w:rFonts w:hint="eastAsia" w:ascii="宋体" w:hAnsi="宋体"/>
          <w:color w:val="auto"/>
          <w:sz w:val="24"/>
          <w:szCs w:val="24"/>
          <w:highlight w:val="none"/>
        </w:rPr>
      </w:pPr>
      <w:r>
        <w:rPr>
          <w:rFonts w:hint="eastAsia" w:ascii="宋体" w:hAnsi="宋体" w:cs="宋体"/>
          <w:color w:val="auto"/>
          <w:sz w:val="24"/>
          <w:szCs w:val="24"/>
          <w:highlight w:val="none"/>
          <w:lang w:eastAsia="zh-CN"/>
        </w:rPr>
        <w:t>供应商</w:t>
      </w:r>
      <w:r>
        <w:rPr>
          <w:rFonts w:ascii="宋体" w:hAnsi="宋体" w:eastAsia="宋体" w:cs="宋体"/>
          <w:color w:val="auto"/>
          <w:sz w:val="24"/>
          <w:szCs w:val="24"/>
          <w:highlight w:val="none"/>
        </w:rPr>
        <w:t>公章：（电子签章）</w:t>
      </w:r>
    </w:p>
    <w:p w14:paraId="12AF540B">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16ED21B6">
      <w:pPr>
        <w:rPr>
          <w:rFonts w:hint="eastAsia" w:ascii="宋体" w:hAnsi="宋体"/>
          <w:b/>
          <w:color w:val="auto"/>
          <w:sz w:val="24"/>
          <w:szCs w:val="24"/>
          <w:highlight w:val="none"/>
        </w:rPr>
      </w:pPr>
    </w:p>
    <w:p w14:paraId="01FE229F">
      <w:pPr>
        <w:ind w:firstLine="480"/>
        <w:rPr>
          <w:rFonts w:hint="eastAsia" w:ascii="宋体" w:hAnsi="宋体"/>
          <w:color w:val="auto"/>
          <w:sz w:val="24"/>
          <w:szCs w:val="24"/>
          <w:highlight w:val="none"/>
        </w:rPr>
      </w:pPr>
    </w:p>
    <w:p w14:paraId="64EDAC7C">
      <w:pPr>
        <w:spacing w:line="460" w:lineRule="exact"/>
        <w:rPr>
          <w:rFonts w:hint="eastAsia" w:ascii="宋体" w:hAnsi="宋体"/>
          <w:bCs/>
          <w:color w:val="auto"/>
          <w:sz w:val="24"/>
          <w:highlight w:val="none"/>
        </w:rPr>
      </w:pPr>
    </w:p>
    <w:p w14:paraId="499C4492">
      <w:pPr>
        <w:jc w:val="center"/>
        <w:rPr>
          <w:rFonts w:hint="eastAsia" w:ascii="宋体" w:hAnsi="宋体" w:cs="仿宋"/>
          <w:b/>
          <w:bCs/>
          <w:color w:val="auto"/>
          <w:sz w:val="32"/>
          <w:szCs w:val="32"/>
          <w:highlight w:val="none"/>
        </w:rPr>
      </w:pPr>
    </w:p>
    <w:p w14:paraId="7295B5D0">
      <w:pPr>
        <w:jc w:val="center"/>
        <w:rPr>
          <w:rFonts w:hint="eastAsia" w:ascii="宋体" w:hAnsi="宋体" w:cs="仿宋"/>
          <w:b/>
          <w:bCs/>
          <w:color w:val="auto"/>
          <w:sz w:val="32"/>
          <w:szCs w:val="32"/>
          <w:highlight w:val="none"/>
        </w:rPr>
      </w:pPr>
    </w:p>
    <w:p w14:paraId="18BAB220">
      <w:pPr>
        <w:pStyle w:val="186"/>
        <w:tabs>
          <w:tab w:val="left" w:pos="1021"/>
        </w:tabs>
        <w:spacing w:before="0" w:after="0" w:line="240" w:lineRule="auto"/>
        <w:rPr>
          <w:rFonts w:hint="eastAsia" w:ascii="黑体" w:hAnsi="黑体" w:eastAsia="黑体" w:cs="宋体"/>
          <w:b w:val="0"/>
          <w:color w:val="auto"/>
          <w:sz w:val="24"/>
          <w:szCs w:val="28"/>
          <w:highlight w:val="none"/>
        </w:rPr>
      </w:pPr>
      <w:r>
        <w:rPr>
          <w:rFonts w:hint="eastAsia" w:ascii="宋体" w:hAnsi="宋体" w:cs="仿宋"/>
          <w:b w:val="0"/>
          <w:bCs w:val="0"/>
          <w:color w:val="auto"/>
          <w:sz w:val="32"/>
          <w:szCs w:val="32"/>
          <w:highlight w:val="none"/>
        </w:rPr>
        <w:br w:type="page" w:clear="all"/>
      </w:r>
      <w:r>
        <w:rPr>
          <w:rFonts w:hint="eastAsia" w:ascii="黑体" w:hAnsi="黑体" w:eastAsia="黑体"/>
          <w:b w:val="0"/>
          <w:bCs w:val="0"/>
          <w:iCs/>
          <w:color w:val="auto"/>
          <w:sz w:val="32"/>
          <w:szCs w:val="32"/>
          <w:highlight w:val="none"/>
          <w:u w:val="single"/>
        </w:rPr>
        <w:t>十</w:t>
      </w:r>
      <w:r>
        <w:rPr>
          <w:rFonts w:hint="eastAsia" w:ascii="黑体" w:hAnsi="黑体" w:eastAsia="黑体"/>
          <w:b w:val="0"/>
          <w:bCs w:val="0"/>
          <w:iCs/>
          <w:color w:val="auto"/>
          <w:sz w:val="32"/>
          <w:szCs w:val="32"/>
          <w:highlight w:val="none"/>
          <w:u w:val="single"/>
          <w:lang w:val="en-US" w:eastAsia="zh-CN"/>
        </w:rPr>
        <w:t>五</w:t>
      </w:r>
      <w:r>
        <w:rPr>
          <w:rFonts w:hint="eastAsia" w:ascii="黑体" w:hAnsi="黑体" w:eastAsia="黑体"/>
          <w:b w:val="0"/>
          <w:bCs w:val="0"/>
          <w:iCs/>
          <w:color w:val="auto"/>
          <w:sz w:val="32"/>
          <w:szCs w:val="32"/>
          <w:highlight w:val="none"/>
          <w:u w:val="single"/>
        </w:rPr>
        <w:t>、类似项目业绩一览表</w:t>
      </w:r>
    </w:p>
    <w:p w14:paraId="50F726E0">
      <w:pPr>
        <w:spacing w:line="520" w:lineRule="exact"/>
        <w:jc w:val="center"/>
        <w:rPr>
          <w:rFonts w:ascii="宋体" w:hAnsi="宋体"/>
          <w:b/>
          <w:bCs/>
          <w:color w:val="auto"/>
          <w:sz w:val="28"/>
          <w:highlight w:val="none"/>
        </w:rPr>
      </w:pPr>
    </w:p>
    <w:p w14:paraId="6003F0D2">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5ED7E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62E9A9D">
            <w:pPr>
              <w:spacing w:line="520" w:lineRule="exact"/>
              <w:jc w:val="center"/>
              <w:rPr>
                <w:rFonts w:ascii="宋体" w:hAnsi="宋体"/>
                <w:color w:val="auto"/>
                <w:sz w:val="28"/>
                <w:highlight w:val="none"/>
              </w:rPr>
            </w:pPr>
            <w:r>
              <w:rPr>
                <w:rFonts w:hint="eastAsia" w:ascii="宋体" w:hAnsi="宋体"/>
                <w:color w:val="auto"/>
                <w:sz w:val="28"/>
                <w:highlight w:val="none"/>
              </w:rPr>
              <w:t>序号</w:t>
            </w:r>
          </w:p>
        </w:tc>
        <w:tc>
          <w:tcPr>
            <w:tcW w:w="2439" w:type="dxa"/>
            <w:noWrap w:val="0"/>
            <w:vAlign w:val="center"/>
          </w:tcPr>
          <w:p w14:paraId="27C81260">
            <w:pPr>
              <w:spacing w:line="520" w:lineRule="exact"/>
              <w:jc w:val="center"/>
              <w:rPr>
                <w:rFonts w:ascii="宋体" w:hAnsi="宋体"/>
                <w:color w:val="auto"/>
                <w:sz w:val="28"/>
                <w:highlight w:val="none"/>
              </w:rPr>
            </w:pPr>
            <w:r>
              <w:rPr>
                <w:rFonts w:hint="eastAsia" w:ascii="宋体" w:hAnsi="宋体"/>
                <w:color w:val="auto"/>
                <w:sz w:val="28"/>
                <w:highlight w:val="none"/>
              </w:rPr>
              <w:t>项目名称</w:t>
            </w:r>
          </w:p>
        </w:tc>
        <w:tc>
          <w:tcPr>
            <w:tcW w:w="2135" w:type="dxa"/>
            <w:noWrap w:val="0"/>
            <w:vAlign w:val="center"/>
          </w:tcPr>
          <w:p w14:paraId="33E41D5E">
            <w:pPr>
              <w:spacing w:line="520" w:lineRule="exact"/>
              <w:jc w:val="center"/>
              <w:rPr>
                <w:rFonts w:ascii="宋体" w:hAnsi="宋体"/>
                <w:color w:val="auto"/>
                <w:sz w:val="28"/>
                <w:highlight w:val="none"/>
              </w:rPr>
            </w:pPr>
            <w:r>
              <w:rPr>
                <w:rFonts w:hint="eastAsia" w:ascii="宋体" w:hAnsi="宋体"/>
                <w:color w:val="auto"/>
                <w:sz w:val="28"/>
                <w:highlight w:val="none"/>
              </w:rPr>
              <w:t>签订时间</w:t>
            </w:r>
          </w:p>
        </w:tc>
        <w:tc>
          <w:tcPr>
            <w:tcW w:w="1358" w:type="dxa"/>
            <w:noWrap w:val="0"/>
            <w:vAlign w:val="center"/>
          </w:tcPr>
          <w:p w14:paraId="69B2653D">
            <w:pPr>
              <w:spacing w:line="520" w:lineRule="exact"/>
              <w:jc w:val="center"/>
              <w:rPr>
                <w:rFonts w:ascii="宋体" w:hAnsi="宋体"/>
                <w:color w:val="auto"/>
                <w:sz w:val="28"/>
                <w:highlight w:val="none"/>
              </w:rPr>
            </w:pPr>
            <w:r>
              <w:rPr>
                <w:rFonts w:hint="eastAsia" w:ascii="宋体" w:hAnsi="宋体"/>
                <w:color w:val="auto"/>
                <w:sz w:val="28"/>
                <w:highlight w:val="none"/>
              </w:rPr>
              <w:t>采购单位</w:t>
            </w:r>
          </w:p>
        </w:tc>
        <w:tc>
          <w:tcPr>
            <w:tcW w:w="2418" w:type="dxa"/>
            <w:noWrap w:val="0"/>
            <w:vAlign w:val="center"/>
          </w:tcPr>
          <w:p w14:paraId="1D3AC17E">
            <w:pPr>
              <w:spacing w:line="520" w:lineRule="exact"/>
              <w:jc w:val="center"/>
              <w:rPr>
                <w:rFonts w:ascii="宋体" w:hAnsi="宋体"/>
                <w:color w:val="auto"/>
                <w:sz w:val="28"/>
                <w:highlight w:val="none"/>
              </w:rPr>
            </w:pPr>
            <w:r>
              <w:rPr>
                <w:rFonts w:hint="eastAsia" w:ascii="宋体" w:hAnsi="宋体"/>
                <w:color w:val="auto"/>
                <w:sz w:val="28"/>
                <w:highlight w:val="none"/>
              </w:rPr>
              <w:t>合同金额</w:t>
            </w:r>
          </w:p>
        </w:tc>
      </w:tr>
      <w:tr w14:paraId="24575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157F9F0">
            <w:pPr>
              <w:spacing w:line="520" w:lineRule="exact"/>
              <w:jc w:val="center"/>
              <w:rPr>
                <w:rFonts w:ascii="宋体" w:hAnsi="宋体"/>
                <w:color w:val="auto"/>
                <w:sz w:val="28"/>
                <w:highlight w:val="none"/>
              </w:rPr>
            </w:pPr>
          </w:p>
        </w:tc>
        <w:tc>
          <w:tcPr>
            <w:tcW w:w="2439" w:type="dxa"/>
            <w:noWrap w:val="0"/>
            <w:vAlign w:val="center"/>
          </w:tcPr>
          <w:p w14:paraId="3BFE9A5D">
            <w:pPr>
              <w:spacing w:line="520" w:lineRule="exact"/>
              <w:jc w:val="center"/>
              <w:rPr>
                <w:rFonts w:ascii="宋体" w:hAnsi="宋体"/>
                <w:color w:val="auto"/>
                <w:sz w:val="28"/>
                <w:highlight w:val="none"/>
              </w:rPr>
            </w:pPr>
          </w:p>
        </w:tc>
        <w:tc>
          <w:tcPr>
            <w:tcW w:w="2135" w:type="dxa"/>
            <w:noWrap w:val="0"/>
            <w:vAlign w:val="center"/>
          </w:tcPr>
          <w:p w14:paraId="5FA8B4A8">
            <w:pPr>
              <w:spacing w:line="520" w:lineRule="exact"/>
              <w:jc w:val="center"/>
              <w:rPr>
                <w:rFonts w:ascii="宋体" w:hAnsi="宋体"/>
                <w:color w:val="auto"/>
                <w:sz w:val="28"/>
                <w:highlight w:val="none"/>
              </w:rPr>
            </w:pPr>
          </w:p>
        </w:tc>
        <w:tc>
          <w:tcPr>
            <w:tcW w:w="1358" w:type="dxa"/>
            <w:noWrap w:val="0"/>
            <w:vAlign w:val="center"/>
          </w:tcPr>
          <w:p w14:paraId="34D5BA25">
            <w:pPr>
              <w:spacing w:line="520" w:lineRule="exact"/>
              <w:jc w:val="center"/>
              <w:rPr>
                <w:rFonts w:ascii="宋体" w:hAnsi="宋体"/>
                <w:color w:val="auto"/>
                <w:sz w:val="28"/>
                <w:highlight w:val="none"/>
              </w:rPr>
            </w:pPr>
          </w:p>
        </w:tc>
        <w:tc>
          <w:tcPr>
            <w:tcW w:w="2418" w:type="dxa"/>
            <w:noWrap w:val="0"/>
            <w:vAlign w:val="center"/>
          </w:tcPr>
          <w:p w14:paraId="56AC3003">
            <w:pPr>
              <w:spacing w:line="520" w:lineRule="exact"/>
              <w:jc w:val="center"/>
              <w:rPr>
                <w:rFonts w:ascii="宋体" w:hAnsi="宋体"/>
                <w:color w:val="auto"/>
                <w:sz w:val="28"/>
                <w:highlight w:val="none"/>
              </w:rPr>
            </w:pPr>
          </w:p>
        </w:tc>
      </w:tr>
      <w:tr w14:paraId="12B9A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DE32294">
            <w:pPr>
              <w:spacing w:line="520" w:lineRule="exact"/>
              <w:jc w:val="center"/>
              <w:rPr>
                <w:rFonts w:ascii="宋体" w:hAnsi="宋体"/>
                <w:color w:val="auto"/>
                <w:sz w:val="28"/>
                <w:highlight w:val="none"/>
              </w:rPr>
            </w:pPr>
          </w:p>
        </w:tc>
        <w:tc>
          <w:tcPr>
            <w:tcW w:w="2439" w:type="dxa"/>
            <w:noWrap w:val="0"/>
            <w:vAlign w:val="center"/>
          </w:tcPr>
          <w:p w14:paraId="418615CD">
            <w:pPr>
              <w:spacing w:line="520" w:lineRule="exact"/>
              <w:jc w:val="center"/>
              <w:rPr>
                <w:rFonts w:ascii="宋体" w:hAnsi="宋体"/>
                <w:color w:val="auto"/>
                <w:sz w:val="28"/>
                <w:highlight w:val="none"/>
              </w:rPr>
            </w:pPr>
          </w:p>
        </w:tc>
        <w:tc>
          <w:tcPr>
            <w:tcW w:w="2135" w:type="dxa"/>
            <w:noWrap w:val="0"/>
            <w:vAlign w:val="center"/>
          </w:tcPr>
          <w:p w14:paraId="0FE986CA">
            <w:pPr>
              <w:spacing w:line="520" w:lineRule="exact"/>
              <w:jc w:val="center"/>
              <w:rPr>
                <w:rFonts w:ascii="宋体" w:hAnsi="宋体"/>
                <w:color w:val="auto"/>
                <w:sz w:val="28"/>
                <w:highlight w:val="none"/>
              </w:rPr>
            </w:pPr>
          </w:p>
        </w:tc>
        <w:tc>
          <w:tcPr>
            <w:tcW w:w="1358" w:type="dxa"/>
            <w:noWrap w:val="0"/>
            <w:vAlign w:val="center"/>
          </w:tcPr>
          <w:p w14:paraId="3BA82E71">
            <w:pPr>
              <w:spacing w:line="520" w:lineRule="exact"/>
              <w:jc w:val="center"/>
              <w:rPr>
                <w:rFonts w:ascii="宋体" w:hAnsi="宋体"/>
                <w:color w:val="auto"/>
                <w:sz w:val="28"/>
                <w:highlight w:val="none"/>
              </w:rPr>
            </w:pPr>
          </w:p>
        </w:tc>
        <w:tc>
          <w:tcPr>
            <w:tcW w:w="2418" w:type="dxa"/>
            <w:noWrap w:val="0"/>
            <w:vAlign w:val="center"/>
          </w:tcPr>
          <w:p w14:paraId="6A3F02F9">
            <w:pPr>
              <w:spacing w:line="520" w:lineRule="exact"/>
              <w:jc w:val="center"/>
              <w:rPr>
                <w:rFonts w:ascii="宋体" w:hAnsi="宋体"/>
                <w:color w:val="auto"/>
                <w:sz w:val="28"/>
                <w:highlight w:val="none"/>
              </w:rPr>
            </w:pPr>
          </w:p>
        </w:tc>
      </w:tr>
      <w:tr w14:paraId="6F654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BA10BFA">
            <w:pPr>
              <w:spacing w:line="520" w:lineRule="exact"/>
              <w:jc w:val="center"/>
              <w:rPr>
                <w:rFonts w:ascii="宋体" w:hAnsi="宋体"/>
                <w:color w:val="auto"/>
                <w:sz w:val="28"/>
                <w:highlight w:val="none"/>
              </w:rPr>
            </w:pPr>
          </w:p>
        </w:tc>
        <w:tc>
          <w:tcPr>
            <w:tcW w:w="2439" w:type="dxa"/>
            <w:noWrap w:val="0"/>
            <w:vAlign w:val="center"/>
          </w:tcPr>
          <w:p w14:paraId="03E63B9E">
            <w:pPr>
              <w:spacing w:line="520" w:lineRule="exact"/>
              <w:jc w:val="center"/>
              <w:rPr>
                <w:rFonts w:ascii="宋体" w:hAnsi="宋体"/>
                <w:color w:val="auto"/>
                <w:sz w:val="28"/>
                <w:highlight w:val="none"/>
              </w:rPr>
            </w:pPr>
          </w:p>
        </w:tc>
        <w:tc>
          <w:tcPr>
            <w:tcW w:w="2135" w:type="dxa"/>
            <w:noWrap w:val="0"/>
            <w:vAlign w:val="center"/>
          </w:tcPr>
          <w:p w14:paraId="65E10A65">
            <w:pPr>
              <w:spacing w:line="520" w:lineRule="exact"/>
              <w:jc w:val="center"/>
              <w:rPr>
                <w:rFonts w:ascii="宋体" w:hAnsi="宋体"/>
                <w:color w:val="auto"/>
                <w:sz w:val="28"/>
                <w:highlight w:val="none"/>
              </w:rPr>
            </w:pPr>
          </w:p>
        </w:tc>
        <w:tc>
          <w:tcPr>
            <w:tcW w:w="1358" w:type="dxa"/>
            <w:noWrap w:val="0"/>
            <w:vAlign w:val="center"/>
          </w:tcPr>
          <w:p w14:paraId="77CCFEBD">
            <w:pPr>
              <w:spacing w:line="520" w:lineRule="exact"/>
              <w:jc w:val="center"/>
              <w:rPr>
                <w:rFonts w:ascii="宋体" w:hAnsi="宋体"/>
                <w:color w:val="auto"/>
                <w:sz w:val="28"/>
                <w:highlight w:val="none"/>
              </w:rPr>
            </w:pPr>
          </w:p>
        </w:tc>
        <w:tc>
          <w:tcPr>
            <w:tcW w:w="2418" w:type="dxa"/>
            <w:noWrap w:val="0"/>
            <w:vAlign w:val="center"/>
          </w:tcPr>
          <w:p w14:paraId="42D725FE">
            <w:pPr>
              <w:spacing w:line="520" w:lineRule="exact"/>
              <w:jc w:val="center"/>
              <w:rPr>
                <w:rFonts w:ascii="宋体" w:hAnsi="宋体"/>
                <w:color w:val="auto"/>
                <w:sz w:val="28"/>
                <w:highlight w:val="none"/>
              </w:rPr>
            </w:pPr>
          </w:p>
        </w:tc>
      </w:tr>
      <w:tr w14:paraId="331B6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86C5A2">
            <w:pPr>
              <w:spacing w:line="520" w:lineRule="exact"/>
              <w:jc w:val="center"/>
              <w:rPr>
                <w:rFonts w:ascii="宋体" w:hAnsi="宋体"/>
                <w:color w:val="auto"/>
                <w:sz w:val="28"/>
                <w:highlight w:val="none"/>
              </w:rPr>
            </w:pPr>
          </w:p>
        </w:tc>
        <w:tc>
          <w:tcPr>
            <w:tcW w:w="2439" w:type="dxa"/>
            <w:noWrap w:val="0"/>
            <w:vAlign w:val="center"/>
          </w:tcPr>
          <w:p w14:paraId="237F83F9">
            <w:pPr>
              <w:spacing w:line="520" w:lineRule="exact"/>
              <w:jc w:val="center"/>
              <w:rPr>
                <w:rFonts w:ascii="宋体" w:hAnsi="宋体"/>
                <w:color w:val="auto"/>
                <w:sz w:val="28"/>
                <w:highlight w:val="none"/>
              </w:rPr>
            </w:pPr>
          </w:p>
        </w:tc>
        <w:tc>
          <w:tcPr>
            <w:tcW w:w="2135" w:type="dxa"/>
            <w:noWrap w:val="0"/>
            <w:vAlign w:val="center"/>
          </w:tcPr>
          <w:p w14:paraId="1B2AACCC">
            <w:pPr>
              <w:spacing w:line="520" w:lineRule="exact"/>
              <w:jc w:val="center"/>
              <w:rPr>
                <w:rFonts w:ascii="宋体" w:hAnsi="宋体"/>
                <w:color w:val="auto"/>
                <w:sz w:val="28"/>
                <w:highlight w:val="none"/>
              </w:rPr>
            </w:pPr>
          </w:p>
        </w:tc>
        <w:tc>
          <w:tcPr>
            <w:tcW w:w="1358" w:type="dxa"/>
            <w:noWrap w:val="0"/>
            <w:vAlign w:val="center"/>
          </w:tcPr>
          <w:p w14:paraId="02B157C9">
            <w:pPr>
              <w:spacing w:line="520" w:lineRule="exact"/>
              <w:jc w:val="center"/>
              <w:rPr>
                <w:rFonts w:ascii="宋体" w:hAnsi="宋体"/>
                <w:color w:val="auto"/>
                <w:sz w:val="28"/>
                <w:highlight w:val="none"/>
              </w:rPr>
            </w:pPr>
          </w:p>
        </w:tc>
        <w:tc>
          <w:tcPr>
            <w:tcW w:w="2418" w:type="dxa"/>
            <w:noWrap w:val="0"/>
            <w:vAlign w:val="center"/>
          </w:tcPr>
          <w:p w14:paraId="3CEBE530">
            <w:pPr>
              <w:spacing w:line="520" w:lineRule="exact"/>
              <w:jc w:val="center"/>
              <w:rPr>
                <w:rFonts w:ascii="宋体" w:hAnsi="宋体"/>
                <w:color w:val="auto"/>
                <w:sz w:val="28"/>
                <w:highlight w:val="none"/>
              </w:rPr>
            </w:pPr>
          </w:p>
        </w:tc>
      </w:tr>
      <w:tr w14:paraId="04FCC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9E528D1">
            <w:pPr>
              <w:spacing w:line="520" w:lineRule="exact"/>
              <w:jc w:val="center"/>
              <w:rPr>
                <w:rFonts w:ascii="宋体" w:hAnsi="宋体"/>
                <w:color w:val="auto"/>
                <w:sz w:val="28"/>
                <w:highlight w:val="none"/>
              </w:rPr>
            </w:pPr>
          </w:p>
        </w:tc>
        <w:tc>
          <w:tcPr>
            <w:tcW w:w="2439" w:type="dxa"/>
            <w:noWrap w:val="0"/>
            <w:vAlign w:val="center"/>
          </w:tcPr>
          <w:p w14:paraId="1FFE96B2">
            <w:pPr>
              <w:spacing w:line="520" w:lineRule="exact"/>
              <w:jc w:val="center"/>
              <w:rPr>
                <w:rFonts w:ascii="宋体" w:hAnsi="宋体"/>
                <w:color w:val="auto"/>
                <w:sz w:val="28"/>
                <w:highlight w:val="none"/>
              </w:rPr>
            </w:pPr>
          </w:p>
        </w:tc>
        <w:tc>
          <w:tcPr>
            <w:tcW w:w="2135" w:type="dxa"/>
            <w:noWrap w:val="0"/>
            <w:vAlign w:val="center"/>
          </w:tcPr>
          <w:p w14:paraId="67AC8C06">
            <w:pPr>
              <w:spacing w:line="520" w:lineRule="exact"/>
              <w:jc w:val="center"/>
              <w:rPr>
                <w:rFonts w:ascii="宋体" w:hAnsi="宋体"/>
                <w:color w:val="auto"/>
                <w:sz w:val="28"/>
                <w:highlight w:val="none"/>
              </w:rPr>
            </w:pPr>
          </w:p>
        </w:tc>
        <w:tc>
          <w:tcPr>
            <w:tcW w:w="1358" w:type="dxa"/>
            <w:noWrap w:val="0"/>
            <w:vAlign w:val="center"/>
          </w:tcPr>
          <w:p w14:paraId="33A65097">
            <w:pPr>
              <w:spacing w:line="520" w:lineRule="exact"/>
              <w:jc w:val="center"/>
              <w:rPr>
                <w:rFonts w:ascii="宋体" w:hAnsi="宋体"/>
                <w:color w:val="auto"/>
                <w:sz w:val="28"/>
                <w:highlight w:val="none"/>
              </w:rPr>
            </w:pPr>
          </w:p>
        </w:tc>
        <w:tc>
          <w:tcPr>
            <w:tcW w:w="2418" w:type="dxa"/>
            <w:noWrap w:val="0"/>
            <w:vAlign w:val="center"/>
          </w:tcPr>
          <w:p w14:paraId="5E233BC1">
            <w:pPr>
              <w:spacing w:line="520" w:lineRule="exact"/>
              <w:jc w:val="center"/>
              <w:rPr>
                <w:rFonts w:ascii="宋体" w:hAnsi="宋体"/>
                <w:color w:val="auto"/>
                <w:sz w:val="28"/>
                <w:highlight w:val="none"/>
              </w:rPr>
            </w:pPr>
          </w:p>
        </w:tc>
      </w:tr>
      <w:tr w14:paraId="152E7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330EDB7">
            <w:pPr>
              <w:spacing w:line="520" w:lineRule="exact"/>
              <w:jc w:val="center"/>
              <w:rPr>
                <w:rFonts w:ascii="宋体" w:hAnsi="宋体"/>
                <w:color w:val="auto"/>
                <w:sz w:val="28"/>
                <w:highlight w:val="none"/>
              </w:rPr>
            </w:pPr>
          </w:p>
        </w:tc>
        <w:tc>
          <w:tcPr>
            <w:tcW w:w="2439" w:type="dxa"/>
            <w:noWrap w:val="0"/>
            <w:vAlign w:val="center"/>
          </w:tcPr>
          <w:p w14:paraId="19D4E594">
            <w:pPr>
              <w:spacing w:line="520" w:lineRule="exact"/>
              <w:jc w:val="center"/>
              <w:rPr>
                <w:rFonts w:ascii="宋体" w:hAnsi="宋体"/>
                <w:color w:val="auto"/>
                <w:sz w:val="28"/>
                <w:highlight w:val="none"/>
              </w:rPr>
            </w:pPr>
          </w:p>
        </w:tc>
        <w:tc>
          <w:tcPr>
            <w:tcW w:w="2135" w:type="dxa"/>
            <w:noWrap w:val="0"/>
            <w:vAlign w:val="center"/>
          </w:tcPr>
          <w:p w14:paraId="22387E11">
            <w:pPr>
              <w:spacing w:line="520" w:lineRule="exact"/>
              <w:jc w:val="center"/>
              <w:rPr>
                <w:rFonts w:ascii="宋体" w:hAnsi="宋体"/>
                <w:color w:val="auto"/>
                <w:sz w:val="28"/>
                <w:highlight w:val="none"/>
              </w:rPr>
            </w:pPr>
          </w:p>
        </w:tc>
        <w:tc>
          <w:tcPr>
            <w:tcW w:w="1358" w:type="dxa"/>
            <w:noWrap w:val="0"/>
            <w:vAlign w:val="center"/>
          </w:tcPr>
          <w:p w14:paraId="06BDF1D4">
            <w:pPr>
              <w:spacing w:line="520" w:lineRule="exact"/>
              <w:jc w:val="center"/>
              <w:rPr>
                <w:rFonts w:ascii="宋体" w:hAnsi="宋体"/>
                <w:color w:val="auto"/>
                <w:sz w:val="28"/>
                <w:highlight w:val="none"/>
              </w:rPr>
            </w:pPr>
          </w:p>
        </w:tc>
        <w:tc>
          <w:tcPr>
            <w:tcW w:w="2418" w:type="dxa"/>
            <w:noWrap w:val="0"/>
            <w:vAlign w:val="center"/>
          </w:tcPr>
          <w:p w14:paraId="545AB2F3">
            <w:pPr>
              <w:spacing w:line="520" w:lineRule="exact"/>
              <w:jc w:val="center"/>
              <w:rPr>
                <w:rFonts w:ascii="宋体" w:hAnsi="宋体"/>
                <w:color w:val="auto"/>
                <w:sz w:val="28"/>
                <w:highlight w:val="none"/>
              </w:rPr>
            </w:pPr>
          </w:p>
        </w:tc>
      </w:tr>
      <w:tr w14:paraId="3A514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53A7ADC">
            <w:pPr>
              <w:spacing w:line="520" w:lineRule="exact"/>
              <w:jc w:val="center"/>
              <w:rPr>
                <w:rFonts w:ascii="宋体" w:hAnsi="宋体"/>
                <w:color w:val="auto"/>
                <w:sz w:val="28"/>
                <w:highlight w:val="none"/>
              </w:rPr>
            </w:pPr>
          </w:p>
        </w:tc>
        <w:tc>
          <w:tcPr>
            <w:tcW w:w="2439" w:type="dxa"/>
            <w:noWrap w:val="0"/>
            <w:vAlign w:val="center"/>
          </w:tcPr>
          <w:p w14:paraId="4EA34634">
            <w:pPr>
              <w:spacing w:line="520" w:lineRule="exact"/>
              <w:jc w:val="center"/>
              <w:rPr>
                <w:rFonts w:ascii="宋体" w:hAnsi="宋体"/>
                <w:color w:val="auto"/>
                <w:sz w:val="28"/>
                <w:highlight w:val="none"/>
              </w:rPr>
            </w:pPr>
          </w:p>
        </w:tc>
        <w:tc>
          <w:tcPr>
            <w:tcW w:w="2135" w:type="dxa"/>
            <w:noWrap w:val="0"/>
            <w:vAlign w:val="center"/>
          </w:tcPr>
          <w:p w14:paraId="39E7DF4F">
            <w:pPr>
              <w:spacing w:line="520" w:lineRule="exact"/>
              <w:jc w:val="center"/>
              <w:rPr>
                <w:rFonts w:ascii="宋体" w:hAnsi="宋体"/>
                <w:color w:val="auto"/>
                <w:sz w:val="28"/>
                <w:highlight w:val="none"/>
              </w:rPr>
            </w:pPr>
          </w:p>
        </w:tc>
        <w:tc>
          <w:tcPr>
            <w:tcW w:w="1358" w:type="dxa"/>
            <w:noWrap w:val="0"/>
            <w:vAlign w:val="center"/>
          </w:tcPr>
          <w:p w14:paraId="12559B6A">
            <w:pPr>
              <w:spacing w:line="520" w:lineRule="exact"/>
              <w:jc w:val="center"/>
              <w:rPr>
                <w:rFonts w:ascii="宋体" w:hAnsi="宋体"/>
                <w:color w:val="auto"/>
                <w:sz w:val="28"/>
                <w:highlight w:val="none"/>
              </w:rPr>
            </w:pPr>
          </w:p>
        </w:tc>
        <w:tc>
          <w:tcPr>
            <w:tcW w:w="2418" w:type="dxa"/>
            <w:noWrap w:val="0"/>
            <w:vAlign w:val="center"/>
          </w:tcPr>
          <w:p w14:paraId="4177BCA6">
            <w:pPr>
              <w:spacing w:line="520" w:lineRule="exact"/>
              <w:jc w:val="center"/>
              <w:rPr>
                <w:rFonts w:ascii="宋体" w:hAnsi="宋体"/>
                <w:color w:val="auto"/>
                <w:sz w:val="28"/>
                <w:highlight w:val="none"/>
              </w:rPr>
            </w:pPr>
          </w:p>
        </w:tc>
      </w:tr>
      <w:tr w14:paraId="7D968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5A53175">
            <w:pPr>
              <w:spacing w:line="520" w:lineRule="exact"/>
              <w:jc w:val="center"/>
              <w:rPr>
                <w:rFonts w:ascii="宋体" w:hAnsi="宋体"/>
                <w:color w:val="auto"/>
                <w:sz w:val="28"/>
                <w:highlight w:val="none"/>
              </w:rPr>
            </w:pPr>
          </w:p>
        </w:tc>
        <w:tc>
          <w:tcPr>
            <w:tcW w:w="2439" w:type="dxa"/>
            <w:noWrap w:val="0"/>
            <w:vAlign w:val="center"/>
          </w:tcPr>
          <w:p w14:paraId="24F855E5">
            <w:pPr>
              <w:spacing w:line="520" w:lineRule="exact"/>
              <w:jc w:val="center"/>
              <w:rPr>
                <w:rFonts w:ascii="宋体" w:hAnsi="宋体"/>
                <w:color w:val="auto"/>
                <w:sz w:val="28"/>
                <w:highlight w:val="none"/>
              </w:rPr>
            </w:pPr>
          </w:p>
        </w:tc>
        <w:tc>
          <w:tcPr>
            <w:tcW w:w="2135" w:type="dxa"/>
            <w:noWrap w:val="0"/>
            <w:vAlign w:val="center"/>
          </w:tcPr>
          <w:p w14:paraId="71A721E7">
            <w:pPr>
              <w:spacing w:line="520" w:lineRule="exact"/>
              <w:jc w:val="center"/>
              <w:rPr>
                <w:rFonts w:ascii="宋体" w:hAnsi="宋体"/>
                <w:color w:val="auto"/>
                <w:sz w:val="28"/>
                <w:highlight w:val="none"/>
              </w:rPr>
            </w:pPr>
          </w:p>
        </w:tc>
        <w:tc>
          <w:tcPr>
            <w:tcW w:w="1358" w:type="dxa"/>
            <w:noWrap w:val="0"/>
            <w:vAlign w:val="center"/>
          </w:tcPr>
          <w:p w14:paraId="18E000BE">
            <w:pPr>
              <w:spacing w:line="520" w:lineRule="exact"/>
              <w:jc w:val="center"/>
              <w:rPr>
                <w:rFonts w:ascii="宋体" w:hAnsi="宋体"/>
                <w:color w:val="auto"/>
                <w:sz w:val="28"/>
                <w:highlight w:val="none"/>
              </w:rPr>
            </w:pPr>
          </w:p>
        </w:tc>
        <w:tc>
          <w:tcPr>
            <w:tcW w:w="2418" w:type="dxa"/>
            <w:noWrap w:val="0"/>
            <w:vAlign w:val="center"/>
          </w:tcPr>
          <w:p w14:paraId="3168A22E">
            <w:pPr>
              <w:spacing w:line="520" w:lineRule="exact"/>
              <w:jc w:val="center"/>
              <w:rPr>
                <w:rFonts w:ascii="宋体" w:hAnsi="宋体"/>
                <w:color w:val="auto"/>
                <w:sz w:val="28"/>
                <w:highlight w:val="none"/>
              </w:rPr>
            </w:pPr>
          </w:p>
        </w:tc>
      </w:tr>
      <w:tr w14:paraId="6ED17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237D6A7">
            <w:pPr>
              <w:spacing w:line="520" w:lineRule="exact"/>
              <w:jc w:val="center"/>
              <w:rPr>
                <w:rFonts w:ascii="宋体" w:hAnsi="宋体"/>
                <w:color w:val="auto"/>
                <w:sz w:val="28"/>
                <w:highlight w:val="none"/>
              </w:rPr>
            </w:pPr>
          </w:p>
        </w:tc>
        <w:tc>
          <w:tcPr>
            <w:tcW w:w="2439" w:type="dxa"/>
            <w:noWrap w:val="0"/>
            <w:vAlign w:val="center"/>
          </w:tcPr>
          <w:p w14:paraId="31910576">
            <w:pPr>
              <w:spacing w:line="520" w:lineRule="exact"/>
              <w:jc w:val="center"/>
              <w:rPr>
                <w:rFonts w:ascii="宋体" w:hAnsi="宋体"/>
                <w:color w:val="auto"/>
                <w:sz w:val="28"/>
                <w:highlight w:val="none"/>
              </w:rPr>
            </w:pPr>
          </w:p>
        </w:tc>
        <w:tc>
          <w:tcPr>
            <w:tcW w:w="2135" w:type="dxa"/>
            <w:noWrap w:val="0"/>
            <w:vAlign w:val="center"/>
          </w:tcPr>
          <w:p w14:paraId="1A3D0061">
            <w:pPr>
              <w:spacing w:line="520" w:lineRule="exact"/>
              <w:jc w:val="center"/>
              <w:rPr>
                <w:rFonts w:ascii="宋体" w:hAnsi="宋体"/>
                <w:color w:val="auto"/>
                <w:sz w:val="28"/>
                <w:highlight w:val="none"/>
              </w:rPr>
            </w:pPr>
          </w:p>
        </w:tc>
        <w:tc>
          <w:tcPr>
            <w:tcW w:w="1358" w:type="dxa"/>
            <w:noWrap w:val="0"/>
            <w:vAlign w:val="center"/>
          </w:tcPr>
          <w:p w14:paraId="7E0D6B34">
            <w:pPr>
              <w:spacing w:line="520" w:lineRule="exact"/>
              <w:jc w:val="center"/>
              <w:rPr>
                <w:rFonts w:ascii="宋体" w:hAnsi="宋体"/>
                <w:color w:val="auto"/>
                <w:sz w:val="28"/>
                <w:highlight w:val="none"/>
              </w:rPr>
            </w:pPr>
          </w:p>
        </w:tc>
        <w:tc>
          <w:tcPr>
            <w:tcW w:w="2418" w:type="dxa"/>
            <w:noWrap w:val="0"/>
            <w:vAlign w:val="center"/>
          </w:tcPr>
          <w:p w14:paraId="339F4EBF">
            <w:pPr>
              <w:spacing w:line="520" w:lineRule="exact"/>
              <w:jc w:val="center"/>
              <w:rPr>
                <w:rFonts w:ascii="宋体" w:hAnsi="宋体"/>
                <w:color w:val="auto"/>
                <w:sz w:val="28"/>
                <w:highlight w:val="none"/>
              </w:rPr>
            </w:pPr>
          </w:p>
        </w:tc>
      </w:tr>
      <w:tr w14:paraId="64705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0ED34C7E">
            <w:pPr>
              <w:spacing w:line="520" w:lineRule="exact"/>
              <w:jc w:val="center"/>
              <w:rPr>
                <w:rFonts w:ascii="宋体" w:hAnsi="宋体"/>
                <w:color w:val="auto"/>
                <w:sz w:val="28"/>
                <w:highlight w:val="none"/>
              </w:rPr>
            </w:pPr>
          </w:p>
        </w:tc>
        <w:tc>
          <w:tcPr>
            <w:tcW w:w="2439" w:type="dxa"/>
            <w:noWrap w:val="0"/>
            <w:vAlign w:val="center"/>
          </w:tcPr>
          <w:p w14:paraId="3DE8CD86">
            <w:pPr>
              <w:spacing w:line="520" w:lineRule="exact"/>
              <w:jc w:val="center"/>
              <w:rPr>
                <w:rFonts w:ascii="宋体" w:hAnsi="宋体"/>
                <w:color w:val="auto"/>
                <w:sz w:val="28"/>
                <w:highlight w:val="none"/>
              </w:rPr>
            </w:pPr>
          </w:p>
        </w:tc>
        <w:tc>
          <w:tcPr>
            <w:tcW w:w="2135" w:type="dxa"/>
            <w:noWrap w:val="0"/>
            <w:vAlign w:val="center"/>
          </w:tcPr>
          <w:p w14:paraId="1C19D3CA">
            <w:pPr>
              <w:spacing w:line="520" w:lineRule="exact"/>
              <w:jc w:val="center"/>
              <w:rPr>
                <w:rFonts w:ascii="宋体" w:hAnsi="宋体"/>
                <w:color w:val="auto"/>
                <w:sz w:val="28"/>
                <w:highlight w:val="none"/>
              </w:rPr>
            </w:pPr>
          </w:p>
        </w:tc>
        <w:tc>
          <w:tcPr>
            <w:tcW w:w="1358" w:type="dxa"/>
            <w:noWrap w:val="0"/>
            <w:vAlign w:val="center"/>
          </w:tcPr>
          <w:p w14:paraId="57296C95">
            <w:pPr>
              <w:spacing w:line="520" w:lineRule="exact"/>
              <w:jc w:val="center"/>
              <w:rPr>
                <w:rFonts w:ascii="宋体" w:hAnsi="宋体"/>
                <w:color w:val="auto"/>
                <w:sz w:val="28"/>
                <w:highlight w:val="none"/>
              </w:rPr>
            </w:pPr>
          </w:p>
        </w:tc>
        <w:tc>
          <w:tcPr>
            <w:tcW w:w="2418" w:type="dxa"/>
            <w:noWrap w:val="0"/>
            <w:vAlign w:val="center"/>
          </w:tcPr>
          <w:p w14:paraId="7EAF65B3">
            <w:pPr>
              <w:spacing w:line="520" w:lineRule="exact"/>
              <w:jc w:val="center"/>
              <w:rPr>
                <w:rFonts w:ascii="宋体" w:hAnsi="宋体"/>
                <w:color w:val="auto"/>
                <w:sz w:val="28"/>
                <w:highlight w:val="none"/>
              </w:rPr>
            </w:pPr>
          </w:p>
        </w:tc>
      </w:tr>
    </w:tbl>
    <w:p w14:paraId="6BEC78F1">
      <w:pPr>
        <w:spacing w:line="400" w:lineRule="exact"/>
        <w:jc w:val="center"/>
        <w:rPr>
          <w:rFonts w:ascii="宋体" w:hAnsi="宋体"/>
          <w:b/>
          <w:color w:val="auto"/>
          <w:sz w:val="28"/>
          <w:szCs w:val="30"/>
          <w:highlight w:val="none"/>
        </w:rPr>
      </w:pPr>
    </w:p>
    <w:p w14:paraId="5487314F">
      <w:pPr>
        <w:spacing w:line="400" w:lineRule="exact"/>
        <w:rPr>
          <w:rFonts w:ascii="宋体" w:hAnsi="宋体"/>
          <w:b/>
          <w:color w:val="auto"/>
          <w:sz w:val="28"/>
          <w:szCs w:val="30"/>
          <w:highlight w:val="none"/>
        </w:rPr>
      </w:pPr>
    </w:p>
    <w:p w14:paraId="7B2E66E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供应商</w:t>
      </w:r>
      <w:r>
        <w:rPr>
          <w:rFonts w:hint="eastAsia" w:ascii="宋体" w:hAnsi="宋体"/>
          <w:bCs/>
          <w:color w:val="auto"/>
          <w:sz w:val="24"/>
          <w:highlight w:val="none"/>
        </w:rPr>
        <w:t>（盖章）：</w:t>
      </w:r>
    </w:p>
    <w:p w14:paraId="4E1ACAE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法定代表人或委托代理人（签字或盖章）：</w:t>
      </w:r>
    </w:p>
    <w:p w14:paraId="64BB962F">
      <w:pPr>
        <w:ind w:firstLine="480"/>
        <w:jc w:val="left"/>
        <w:rPr>
          <w:rFonts w:hint="eastAsia" w:ascii="宋体" w:hAnsi="宋体"/>
          <w:bCs/>
          <w:color w:val="auto"/>
          <w:sz w:val="24"/>
          <w:highlight w:val="none"/>
        </w:rPr>
      </w:pPr>
      <w:r>
        <w:rPr>
          <w:rFonts w:hint="eastAsia" w:ascii="宋体" w:hAnsi="宋体"/>
          <w:bCs/>
          <w:color w:val="auto"/>
          <w:sz w:val="24"/>
          <w:highlight w:val="none"/>
        </w:rPr>
        <w:t>日期：    年     月     日</w:t>
      </w:r>
    </w:p>
    <w:p w14:paraId="0DEF0AD3">
      <w:pPr>
        <w:pStyle w:val="186"/>
        <w:spacing w:line="240" w:lineRule="auto"/>
        <w:rPr>
          <w:rFonts w:hAnsi="宋体"/>
          <w:color w:val="auto"/>
          <w:szCs w:val="21"/>
          <w:highlight w:val="none"/>
        </w:rPr>
      </w:pPr>
      <w:bookmarkStart w:id="271" w:name="_Toc16041"/>
      <w:bookmarkStart w:id="272" w:name="_Toc9559"/>
      <w:r>
        <w:rPr>
          <w:rFonts w:hint="eastAsia" w:ascii="黑体" w:hAnsi="黑体" w:eastAsia="黑体"/>
          <w:b w:val="0"/>
          <w:bCs w:val="0"/>
          <w:iCs/>
          <w:color w:val="auto"/>
          <w:sz w:val="32"/>
          <w:szCs w:val="32"/>
          <w:highlight w:val="none"/>
          <w:u w:val="single"/>
        </w:rPr>
        <w:br w:type="page" w:clear="all"/>
      </w:r>
      <w:r>
        <w:rPr>
          <w:rFonts w:hint="eastAsia" w:ascii="黑体" w:hAnsi="黑体" w:eastAsia="黑体"/>
          <w:b w:val="0"/>
          <w:bCs w:val="0"/>
          <w:iCs/>
          <w:color w:val="auto"/>
          <w:sz w:val="32"/>
          <w:szCs w:val="32"/>
          <w:highlight w:val="none"/>
          <w:u w:val="single"/>
        </w:rPr>
        <w:t>十</w:t>
      </w:r>
      <w:r>
        <w:rPr>
          <w:rFonts w:hint="eastAsia" w:ascii="黑体" w:hAnsi="黑体" w:eastAsia="黑体"/>
          <w:b w:val="0"/>
          <w:bCs w:val="0"/>
          <w:iCs/>
          <w:color w:val="auto"/>
          <w:sz w:val="32"/>
          <w:szCs w:val="32"/>
          <w:highlight w:val="none"/>
          <w:u w:val="single"/>
          <w:lang w:val="en-US" w:eastAsia="zh-CN"/>
        </w:rPr>
        <w:t>六</w:t>
      </w:r>
      <w:r>
        <w:rPr>
          <w:rFonts w:hint="eastAsia" w:ascii="黑体" w:hAnsi="黑体" w:eastAsia="黑体"/>
          <w:b w:val="0"/>
          <w:bCs w:val="0"/>
          <w:iCs/>
          <w:color w:val="auto"/>
          <w:sz w:val="32"/>
          <w:szCs w:val="32"/>
          <w:highlight w:val="none"/>
          <w:u w:val="single"/>
        </w:rPr>
        <w:t>、项目团队人员一览表</w:t>
      </w:r>
      <w:bookmarkEnd w:id="271"/>
      <w:bookmarkEnd w:id="272"/>
    </w:p>
    <w:p w14:paraId="2B4A464E">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31"/>
        <w:tblpPr w:leftFromText="180" w:rightFromText="180" w:vertAnchor="text" w:horzAnchor="margin" w:tblpXSpec="left"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20E34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1470" w:type="dxa"/>
            <w:noWrap w:val="0"/>
            <w:vAlign w:val="center"/>
          </w:tcPr>
          <w:p w14:paraId="69B8DB3B">
            <w:pPr>
              <w:spacing w:line="520" w:lineRule="exact"/>
              <w:jc w:val="center"/>
              <w:rPr>
                <w:rFonts w:hint="eastAsia" w:ascii="宋体" w:hAnsi="宋体"/>
                <w:color w:val="auto"/>
                <w:highlight w:val="none"/>
              </w:rPr>
            </w:pPr>
            <w:r>
              <w:rPr>
                <w:rFonts w:hint="eastAsia" w:ascii="宋体" w:hAnsi="宋体"/>
                <w:color w:val="auto"/>
                <w:highlight w:val="none"/>
              </w:rPr>
              <w:t>姓  名</w:t>
            </w:r>
          </w:p>
        </w:tc>
        <w:tc>
          <w:tcPr>
            <w:tcW w:w="1905" w:type="dxa"/>
            <w:noWrap w:val="0"/>
            <w:vAlign w:val="center"/>
          </w:tcPr>
          <w:p w14:paraId="14FFA931">
            <w:pPr>
              <w:spacing w:line="520" w:lineRule="exact"/>
              <w:jc w:val="center"/>
              <w:rPr>
                <w:rFonts w:hint="eastAsia" w:ascii="宋体" w:hAnsi="宋体"/>
                <w:color w:val="auto"/>
                <w:highlight w:val="none"/>
              </w:rPr>
            </w:pPr>
            <w:r>
              <w:rPr>
                <w:rFonts w:hint="eastAsia" w:ascii="宋体" w:hAnsi="宋体"/>
                <w:color w:val="auto"/>
                <w:highlight w:val="none"/>
              </w:rPr>
              <w:t>本项目拟任</w:t>
            </w:r>
          </w:p>
          <w:p w14:paraId="086C785F">
            <w:pPr>
              <w:spacing w:line="520" w:lineRule="exact"/>
              <w:jc w:val="center"/>
              <w:rPr>
                <w:rFonts w:hint="eastAsia" w:ascii="宋体" w:hAnsi="宋体"/>
                <w:color w:val="auto"/>
                <w:highlight w:val="none"/>
              </w:rPr>
            </w:pPr>
            <w:r>
              <w:rPr>
                <w:rFonts w:hint="eastAsia" w:ascii="宋体" w:hAnsi="宋体"/>
                <w:color w:val="auto"/>
                <w:highlight w:val="none"/>
              </w:rPr>
              <w:t>职  务</w:t>
            </w:r>
          </w:p>
        </w:tc>
        <w:tc>
          <w:tcPr>
            <w:tcW w:w="1127" w:type="dxa"/>
            <w:noWrap w:val="0"/>
            <w:vAlign w:val="center"/>
          </w:tcPr>
          <w:p w14:paraId="4EBEF666">
            <w:pPr>
              <w:spacing w:line="520" w:lineRule="exact"/>
              <w:jc w:val="center"/>
              <w:rPr>
                <w:rFonts w:hint="eastAsia" w:ascii="宋体" w:hAnsi="宋体"/>
                <w:color w:val="auto"/>
                <w:highlight w:val="none"/>
              </w:rPr>
            </w:pPr>
            <w:r>
              <w:rPr>
                <w:rFonts w:hint="eastAsia" w:ascii="宋体" w:hAnsi="宋体"/>
                <w:color w:val="auto"/>
                <w:highlight w:val="none"/>
              </w:rPr>
              <w:t>技术</w:t>
            </w:r>
          </w:p>
          <w:p w14:paraId="7AC695B0">
            <w:pPr>
              <w:spacing w:line="520" w:lineRule="exact"/>
              <w:jc w:val="center"/>
              <w:rPr>
                <w:rFonts w:hint="eastAsia" w:ascii="宋体" w:hAnsi="宋体"/>
                <w:color w:val="auto"/>
                <w:highlight w:val="none"/>
              </w:rPr>
            </w:pPr>
            <w:r>
              <w:rPr>
                <w:rFonts w:hint="eastAsia" w:ascii="宋体" w:hAnsi="宋体"/>
                <w:color w:val="auto"/>
                <w:highlight w:val="none"/>
              </w:rPr>
              <w:t>职称</w:t>
            </w:r>
          </w:p>
        </w:tc>
        <w:tc>
          <w:tcPr>
            <w:tcW w:w="896" w:type="dxa"/>
            <w:noWrap w:val="0"/>
            <w:vAlign w:val="center"/>
          </w:tcPr>
          <w:p w14:paraId="0C7F5C14">
            <w:pPr>
              <w:spacing w:line="520" w:lineRule="exact"/>
              <w:jc w:val="center"/>
              <w:rPr>
                <w:rFonts w:hint="eastAsia" w:ascii="宋体" w:hAnsi="宋体"/>
                <w:color w:val="auto"/>
                <w:highlight w:val="none"/>
              </w:rPr>
            </w:pPr>
            <w:r>
              <w:rPr>
                <w:rFonts w:hint="eastAsia" w:ascii="宋体" w:hAnsi="宋体"/>
                <w:color w:val="auto"/>
                <w:highlight w:val="none"/>
              </w:rPr>
              <w:t>年龄</w:t>
            </w:r>
          </w:p>
        </w:tc>
        <w:tc>
          <w:tcPr>
            <w:tcW w:w="896" w:type="dxa"/>
            <w:noWrap w:val="0"/>
            <w:vAlign w:val="center"/>
          </w:tcPr>
          <w:p w14:paraId="4D77CC5D">
            <w:pPr>
              <w:spacing w:line="520" w:lineRule="exact"/>
              <w:jc w:val="center"/>
              <w:rPr>
                <w:rFonts w:hint="eastAsia" w:ascii="宋体" w:hAnsi="宋体"/>
                <w:color w:val="auto"/>
                <w:highlight w:val="none"/>
              </w:rPr>
            </w:pPr>
            <w:r>
              <w:rPr>
                <w:rFonts w:hint="eastAsia" w:ascii="宋体" w:hAnsi="宋体"/>
                <w:color w:val="auto"/>
                <w:highlight w:val="none"/>
              </w:rPr>
              <w:t>学历</w:t>
            </w:r>
          </w:p>
        </w:tc>
        <w:tc>
          <w:tcPr>
            <w:tcW w:w="2814" w:type="dxa"/>
            <w:noWrap w:val="0"/>
            <w:vAlign w:val="center"/>
          </w:tcPr>
          <w:p w14:paraId="7E54C3D0">
            <w:pPr>
              <w:spacing w:line="520" w:lineRule="exact"/>
              <w:jc w:val="center"/>
              <w:rPr>
                <w:rFonts w:hint="eastAsia" w:ascii="宋体" w:hAnsi="宋体"/>
                <w:color w:val="auto"/>
                <w:highlight w:val="none"/>
              </w:rPr>
            </w:pPr>
            <w:r>
              <w:rPr>
                <w:rFonts w:hint="eastAsia" w:ascii="宋体" w:hAnsi="宋体"/>
                <w:color w:val="auto"/>
                <w:highlight w:val="none"/>
              </w:rPr>
              <w:t>主要资历及担任过的职务</w:t>
            </w:r>
          </w:p>
        </w:tc>
      </w:tr>
      <w:tr w14:paraId="6EE05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7BF139F8">
            <w:pPr>
              <w:spacing w:line="520" w:lineRule="exact"/>
              <w:jc w:val="center"/>
              <w:rPr>
                <w:rFonts w:hint="eastAsia" w:ascii="宋体" w:hAnsi="宋体"/>
                <w:color w:val="auto"/>
                <w:sz w:val="28"/>
                <w:highlight w:val="none"/>
              </w:rPr>
            </w:pPr>
          </w:p>
        </w:tc>
        <w:tc>
          <w:tcPr>
            <w:tcW w:w="1905" w:type="dxa"/>
            <w:noWrap w:val="0"/>
            <w:vAlign w:val="center"/>
          </w:tcPr>
          <w:p w14:paraId="2618A665">
            <w:pPr>
              <w:spacing w:line="520" w:lineRule="exact"/>
              <w:jc w:val="center"/>
              <w:rPr>
                <w:rFonts w:hint="eastAsia" w:ascii="宋体" w:hAnsi="宋体"/>
                <w:color w:val="auto"/>
                <w:sz w:val="28"/>
                <w:highlight w:val="none"/>
              </w:rPr>
            </w:pPr>
          </w:p>
        </w:tc>
        <w:tc>
          <w:tcPr>
            <w:tcW w:w="1127" w:type="dxa"/>
            <w:noWrap w:val="0"/>
            <w:vAlign w:val="center"/>
          </w:tcPr>
          <w:p w14:paraId="2E6D6650">
            <w:pPr>
              <w:spacing w:line="520" w:lineRule="exact"/>
              <w:jc w:val="center"/>
              <w:rPr>
                <w:rFonts w:hint="eastAsia" w:ascii="宋体" w:hAnsi="宋体"/>
                <w:color w:val="auto"/>
                <w:sz w:val="28"/>
                <w:highlight w:val="none"/>
              </w:rPr>
            </w:pPr>
          </w:p>
        </w:tc>
        <w:tc>
          <w:tcPr>
            <w:tcW w:w="896" w:type="dxa"/>
            <w:noWrap w:val="0"/>
            <w:vAlign w:val="center"/>
          </w:tcPr>
          <w:p w14:paraId="77BE0EF0">
            <w:pPr>
              <w:spacing w:line="520" w:lineRule="exact"/>
              <w:jc w:val="center"/>
              <w:rPr>
                <w:rFonts w:hint="eastAsia" w:ascii="宋体" w:hAnsi="宋体"/>
                <w:color w:val="auto"/>
                <w:sz w:val="28"/>
                <w:highlight w:val="none"/>
              </w:rPr>
            </w:pPr>
          </w:p>
        </w:tc>
        <w:tc>
          <w:tcPr>
            <w:tcW w:w="896" w:type="dxa"/>
            <w:noWrap w:val="0"/>
            <w:vAlign w:val="center"/>
          </w:tcPr>
          <w:p w14:paraId="360F55E1">
            <w:pPr>
              <w:spacing w:line="520" w:lineRule="exact"/>
              <w:jc w:val="center"/>
              <w:rPr>
                <w:rFonts w:hint="eastAsia" w:ascii="宋体" w:hAnsi="宋体"/>
                <w:color w:val="auto"/>
                <w:sz w:val="28"/>
                <w:highlight w:val="none"/>
              </w:rPr>
            </w:pPr>
          </w:p>
        </w:tc>
        <w:tc>
          <w:tcPr>
            <w:tcW w:w="2814" w:type="dxa"/>
            <w:noWrap w:val="0"/>
            <w:vAlign w:val="center"/>
          </w:tcPr>
          <w:p w14:paraId="3B0465B8">
            <w:pPr>
              <w:spacing w:line="520" w:lineRule="exact"/>
              <w:jc w:val="center"/>
              <w:rPr>
                <w:rFonts w:hint="eastAsia" w:ascii="宋体" w:hAnsi="宋体"/>
                <w:color w:val="auto"/>
                <w:sz w:val="28"/>
                <w:highlight w:val="none"/>
              </w:rPr>
            </w:pPr>
          </w:p>
        </w:tc>
      </w:tr>
      <w:tr w14:paraId="1CFE6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6F7880A5">
            <w:pPr>
              <w:spacing w:line="520" w:lineRule="exact"/>
              <w:jc w:val="center"/>
              <w:rPr>
                <w:rFonts w:hint="eastAsia" w:ascii="宋体" w:hAnsi="宋体"/>
                <w:color w:val="auto"/>
                <w:sz w:val="28"/>
                <w:highlight w:val="none"/>
              </w:rPr>
            </w:pPr>
          </w:p>
        </w:tc>
        <w:tc>
          <w:tcPr>
            <w:tcW w:w="1905" w:type="dxa"/>
            <w:noWrap w:val="0"/>
            <w:vAlign w:val="center"/>
          </w:tcPr>
          <w:p w14:paraId="0CE342D0">
            <w:pPr>
              <w:spacing w:line="520" w:lineRule="exact"/>
              <w:jc w:val="center"/>
              <w:rPr>
                <w:rFonts w:hint="eastAsia" w:ascii="宋体" w:hAnsi="宋体"/>
                <w:color w:val="auto"/>
                <w:sz w:val="28"/>
                <w:highlight w:val="none"/>
              </w:rPr>
            </w:pPr>
          </w:p>
        </w:tc>
        <w:tc>
          <w:tcPr>
            <w:tcW w:w="1127" w:type="dxa"/>
            <w:noWrap w:val="0"/>
            <w:vAlign w:val="center"/>
          </w:tcPr>
          <w:p w14:paraId="4B34EFAA">
            <w:pPr>
              <w:spacing w:line="520" w:lineRule="exact"/>
              <w:jc w:val="center"/>
              <w:rPr>
                <w:rFonts w:hint="eastAsia" w:ascii="宋体" w:hAnsi="宋体"/>
                <w:color w:val="auto"/>
                <w:sz w:val="28"/>
                <w:highlight w:val="none"/>
              </w:rPr>
            </w:pPr>
          </w:p>
        </w:tc>
        <w:tc>
          <w:tcPr>
            <w:tcW w:w="896" w:type="dxa"/>
            <w:noWrap w:val="0"/>
            <w:vAlign w:val="center"/>
          </w:tcPr>
          <w:p w14:paraId="7BAFCE65">
            <w:pPr>
              <w:spacing w:line="520" w:lineRule="exact"/>
              <w:jc w:val="center"/>
              <w:rPr>
                <w:rFonts w:hint="eastAsia" w:ascii="宋体" w:hAnsi="宋体"/>
                <w:color w:val="auto"/>
                <w:sz w:val="28"/>
                <w:highlight w:val="none"/>
              </w:rPr>
            </w:pPr>
          </w:p>
        </w:tc>
        <w:tc>
          <w:tcPr>
            <w:tcW w:w="896" w:type="dxa"/>
            <w:noWrap w:val="0"/>
            <w:vAlign w:val="center"/>
          </w:tcPr>
          <w:p w14:paraId="18E4AFA3">
            <w:pPr>
              <w:spacing w:line="520" w:lineRule="exact"/>
              <w:jc w:val="center"/>
              <w:rPr>
                <w:rFonts w:hint="eastAsia" w:ascii="宋体" w:hAnsi="宋体"/>
                <w:color w:val="auto"/>
                <w:sz w:val="28"/>
                <w:highlight w:val="none"/>
              </w:rPr>
            </w:pPr>
          </w:p>
        </w:tc>
        <w:tc>
          <w:tcPr>
            <w:tcW w:w="2814" w:type="dxa"/>
            <w:noWrap w:val="0"/>
            <w:vAlign w:val="center"/>
          </w:tcPr>
          <w:p w14:paraId="7A53FA7E">
            <w:pPr>
              <w:spacing w:line="520" w:lineRule="exact"/>
              <w:jc w:val="center"/>
              <w:rPr>
                <w:rFonts w:hint="eastAsia" w:ascii="宋体" w:hAnsi="宋体"/>
                <w:color w:val="auto"/>
                <w:sz w:val="28"/>
                <w:highlight w:val="none"/>
              </w:rPr>
            </w:pPr>
          </w:p>
        </w:tc>
      </w:tr>
      <w:tr w14:paraId="6270F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39736CF5">
            <w:pPr>
              <w:spacing w:line="520" w:lineRule="exact"/>
              <w:jc w:val="center"/>
              <w:rPr>
                <w:rFonts w:hint="eastAsia" w:ascii="宋体" w:hAnsi="宋体"/>
                <w:color w:val="auto"/>
                <w:sz w:val="28"/>
                <w:highlight w:val="none"/>
              </w:rPr>
            </w:pPr>
          </w:p>
        </w:tc>
        <w:tc>
          <w:tcPr>
            <w:tcW w:w="1905" w:type="dxa"/>
            <w:noWrap w:val="0"/>
            <w:vAlign w:val="center"/>
          </w:tcPr>
          <w:p w14:paraId="427DB281">
            <w:pPr>
              <w:spacing w:line="520" w:lineRule="exact"/>
              <w:jc w:val="center"/>
              <w:rPr>
                <w:rFonts w:hint="eastAsia" w:ascii="宋体" w:hAnsi="宋体"/>
                <w:color w:val="auto"/>
                <w:sz w:val="28"/>
                <w:highlight w:val="none"/>
              </w:rPr>
            </w:pPr>
          </w:p>
        </w:tc>
        <w:tc>
          <w:tcPr>
            <w:tcW w:w="1127" w:type="dxa"/>
            <w:noWrap w:val="0"/>
            <w:vAlign w:val="center"/>
          </w:tcPr>
          <w:p w14:paraId="0F2A9F11">
            <w:pPr>
              <w:spacing w:line="520" w:lineRule="exact"/>
              <w:jc w:val="center"/>
              <w:rPr>
                <w:rFonts w:hint="eastAsia" w:ascii="宋体" w:hAnsi="宋体"/>
                <w:color w:val="auto"/>
                <w:sz w:val="28"/>
                <w:highlight w:val="none"/>
              </w:rPr>
            </w:pPr>
          </w:p>
        </w:tc>
        <w:tc>
          <w:tcPr>
            <w:tcW w:w="896" w:type="dxa"/>
            <w:noWrap w:val="0"/>
            <w:vAlign w:val="center"/>
          </w:tcPr>
          <w:p w14:paraId="6F1F13DE">
            <w:pPr>
              <w:spacing w:line="520" w:lineRule="exact"/>
              <w:jc w:val="center"/>
              <w:rPr>
                <w:rFonts w:hint="eastAsia" w:ascii="宋体" w:hAnsi="宋体"/>
                <w:color w:val="auto"/>
                <w:sz w:val="28"/>
                <w:highlight w:val="none"/>
              </w:rPr>
            </w:pPr>
          </w:p>
        </w:tc>
        <w:tc>
          <w:tcPr>
            <w:tcW w:w="896" w:type="dxa"/>
            <w:noWrap w:val="0"/>
            <w:vAlign w:val="center"/>
          </w:tcPr>
          <w:p w14:paraId="5C74C6BC">
            <w:pPr>
              <w:spacing w:line="520" w:lineRule="exact"/>
              <w:jc w:val="center"/>
              <w:rPr>
                <w:rFonts w:hint="eastAsia" w:ascii="宋体" w:hAnsi="宋体"/>
                <w:color w:val="auto"/>
                <w:sz w:val="28"/>
                <w:highlight w:val="none"/>
              </w:rPr>
            </w:pPr>
          </w:p>
        </w:tc>
        <w:tc>
          <w:tcPr>
            <w:tcW w:w="2814" w:type="dxa"/>
            <w:noWrap w:val="0"/>
            <w:vAlign w:val="center"/>
          </w:tcPr>
          <w:p w14:paraId="40C5B61B">
            <w:pPr>
              <w:spacing w:line="520" w:lineRule="exact"/>
              <w:jc w:val="center"/>
              <w:rPr>
                <w:rFonts w:hint="eastAsia" w:ascii="宋体" w:hAnsi="宋体"/>
                <w:color w:val="auto"/>
                <w:sz w:val="28"/>
                <w:highlight w:val="none"/>
              </w:rPr>
            </w:pPr>
          </w:p>
        </w:tc>
      </w:tr>
      <w:tr w14:paraId="4CE66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78190A5D">
            <w:pPr>
              <w:spacing w:line="520" w:lineRule="exact"/>
              <w:jc w:val="center"/>
              <w:rPr>
                <w:rFonts w:hint="eastAsia" w:ascii="宋体" w:hAnsi="宋体"/>
                <w:color w:val="auto"/>
                <w:sz w:val="28"/>
                <w:highlight w:val="none"/>
              </w:rPr>
            </w:pPr>
          </w:p>
        </w:tc>
        <w:tc>
          <w:tcPr>
            <w:tcW w:w="1905" w:type="dxa"/>
            <w:noWrap w:val="0"/>
            <w:vAlign w:val="center"/>
          </w:tcPr>
          <w:p w14:paraId="3C1AB369">
            <w:pPr>
              <w:spacing w:line="520" w:lineRule="exact"/>
              <w:jc w:val="center"/>
              <w:rPr>
                <w:rFonts w:hint="eastAsia" w:ascii="宋体" w:hAnsi="宋体"/>
                <w:color w:val="auto"/>
                <w:sz w:val="28"/>
                <w:highlight w:val="none"/>
              </w:rPr>
            </w:pPr>
          </w:p>
        </w:tc>
        <w:tc>
          <w:tcPr>
            <w:tcW w:w="1127" w:type="dxa"/>
            <w:noWrap w:val="0"/>
            <w:vAlign w:val="center"/>
          </w:tcPr>
          <w:p w14:paraId="1D0B42EB">
            <w:pPr>
              <w:spacing w:line="520" w:lineRule="exact"/>
              <w:jc w:val="center"/>
              <w:rPr>
                <w:rFonts w:hint="eastAsia" w:ascii="宋体" w:hAnsi="宋体"/>
                <w:color w:val="auto"/>
                <w:sz w:val="28"/>
                <w:highlight w:val="none"/>
              </w:rPr>
            </w:pPr>
          </w:p>
        </w:tc>
        <w:tc>
          <w:tcPr>
            <w:tcW w:w="896" w:type="dxa"/>
            <w:noWrap w:val="0"/>
            <w:vAlign w:val="center"/>
          </w:tcPr>
          <w:p w14:paraId="7B314BB2">
            <w:pPr>
              <w:spacing w:line="520" w:lineRule="exact"/>
              <w:jc w:val="center"/>
              <w:rPr>
                <w:rFonts w:hint="eastAsia" w:ascii="宋体" w:hAnsi="宋体"/>
                <w:color w:val="auto"/>
                <w:sz w:val="28"/>
                <w:highlight w:val="none"/>
              </w:rPr>
            </w:pPr>
          </w:p>
        </w:tc>
        <w:tc>
          <w:tcPr>
            <w:tcW w:w="896" w:type="dxa"/>
            <w:noWrap w:val="0"/>
            <w:vAlign w:val="center"/>
          </w:tcPr>
          <w:p w14:paraId="30527AB8">
            <w:pPr>
              <w:spacing w:line="520" w:lineRule="exact"/>
              <w:jc w:val="center"/>
              <w:rPr>
                <w:rFonts w:hint="eastAsia" w:ascii="宋体" w:hAnsi="宋体"/>
                <w:color w:val="auto"/>
                <w:sz w:val="28"/>
                <w:highlight w:val="none"/>
              </w:rPr>
            </w:pPr>
          </w:p>
        </w:tc>
        <w:tc>
          <w:tcPr>
            <w:tcW w:w="2814" w:type="dxa"/>
            <w:noWrap w:val="0"/>
            <w:vAlign w:val="center"/>
          </w:tcPr>
          <w:p w14:paraId="5BFE0CD4">
            <w:pPr>
              <w:spacing w:line="520" w:lineRule="exact"/>
              <w:jc w:val="center"/>
              <w:rPr>
                <w:rFonts w:hint="eastAsia" w:ascii="宋体" w:hAnsi="宋体"/>
                <w:color w:val="auto"/>
                <w:sz w:val="28"/>
                <w:highlight w:val="none"/>
              </w:rPr>
            </w:pPr>
          </w:p>
        </w:tc>
      </w:tr>
      <w:tr w14:paraId="60E69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45B20BAF">
            <w:pPr>
              <w:spacing w:line="520" w:lineRule="exact"/>
              <w:jc w:val="center"/>
              <w:rPr>
                <w:rFonts w:hint="eastAsia" w:ascii="宋体" w:hAnsi="宋体"/>
                <w:color w:val="auto"/>
                <w:sz w:val="28"/>
                <w:highlight w:val="none"/>
              </w:rPr>
            </w:pPr>
          </w:p>
        </w:tc>
        <w:tc>
          <w:tcPr>
            <w:tcW w:w="1905" w:type="dxa"/>
            <w:noWrap w:val="0"/>
            <w:vAlign w:val="center"/>
          </w:tcPr>
          <w:p w14:paraId="507C5A56">
            <w:pPr>
              <w:spacing w:line="520" w:lineRule="exact"/>
              <w:jc w:val="center"/>
              <w:rPr>
                <w:rFonts w:hint="eastAsia" w:ascii="宋体" w:hAnsi="宋体"/>
                <w:color w:val="auto"/>
                <w:sz w:val="28"/>
                <w:highlight w:val="none"/>
              </w:rPr>
            </w:pPr>
          </w:p>
        </w:tc>
        <w:tc>
          <w:tcPr>
            <w:tcW w:w="1127" w:type="dxa"/>
            <w:noWrap w:val="0"/>
            <w:vAlign w:val="center"/>
          </w:tcPr>
          <w:p w14:paraId="71917F5C">
            <w:pPr>
              <w:spacing w:line="520" w:lineRule="exact"/>
              <w:jc w:val="center"/>
              <w:rPr>
                <w:rFonts w:hint="eastAsia" w:ascii="宋体" w:hAnsi="宋体"/>
                <w:color w:val="auto"/>
                <w:sz w:val="28"/>
                <w:highlight w:val="none"/>
              </w:rPr>
            </w:pPr>
          </w:p>
        </w:tc>
        <w:tc>
          <w:tcPr>
            <w:tcW w:w="896" w:type="dxa"/>
            <w:noWrap w:val="0"/>
            <w:vAlign w:val="center"/>
          </w:tcPr>
          <w:p w14:paraId="43391349">
            <w:pPr>
              <w:spacing w:line="520" w:lineRule="exact"/>
              <w:jc w:val="center"/>
              <w:rPr>
                <w:rFonts w:hint="eastAsia" w:ascii="宋体" w:hAnsi="宋体"/>
                <w:color w:val="auto"/>
                <w:sz w:val="28"/>
                <w:highlight w:val="none"/>
              </w:rPr>
            </w:pPr>
          </w:p>
        </w:tc>
        <w:tc>
          <w:tcPr>
            <w:tcW w:w="896" w:type="dxa"/>
            <w:noWrap w:val="0"/>
            <w:vAlign w:val="center"/>
          </w:tcPr>
          <w:p w14:paraId="4FF82924">
            <w:pPr>
              <w:spacing w:line="520" w:lineRule="exact"/>
              <w:jc w:val="center"/>
              <w:rPr>
                <w:rFonts w:hint="eastAsia" w:ascii="宋体" w:hAnsi="宋体"/>
                <w:color w:val="auto"/>
                <w:sz w:val="28"/>
                <w:highlight w:val="none"/>
              </w:rPr>
            </w:pPr>
          </w:p>
        </w:tc>
        <w:tc>
          <w:tcPr>
            <w:tcW w:w="2814" w:type="dxa"/>
            <w:noWrap w:val="0"/>
            <w:vAlign w:val="center"/>
          </w:tcPr>
          <w:p w14:paraId="4BED876E">
            <w:pPr>
              <w:spacing w:line="520" w:lineRule="exact"/>
              <w:jc w:val="center"/>
              <w:rPr>
                <w:rFonts w:hint="eastAsia" w:ascii="宋体" w:hAnsi="宋体"/>
                <w:color w:val="auto"/>
                <w:sz w:val="28"/>
                <w:highlight w:val="none"/>
              </w:rPr>
            </w:pPr>
          </w:p>
        </w:tc>
      </w:tr>
      <w:tr w14:paraId="40235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05B921FE">
            <w:pPr>
              <w:spacing w:line="520" w:lineRule="exact"/>
              <w:jc w:val="center"/>
              <w:rPr>
                <w:rFonts w:hint="eastAsia" w:ascii="宋体" w:hAnsi="宋体"/>
                <w:color w:val="auto"/>
                <w:sz w:val="28"/>
                <w:highlight w:val="none"/>
              </w:rPr>
            </w:pPr>
          </w:p>
        </w:tc>
        <w:tc>
          <w:tcPr>
            <w:tcW w:w="1905" w:type="dxa"/>
            <w:noWrap w:val="0"/>
            <w:vAlign w:val="center"/>
          </w:tcPr>
          <w:p w14:paraId="41304E4A">
            <w:pPr>
              <w:spacing w:line="520" w:lineRule="exact"/>
              <w:jc w:val="center"/>
              <w:rPr>
                <w:rFonts w:hint="eastAsia" w:ascii="宋体" w:hAnsi="宋体"/>
                <w:color w:val="auto"/>
                <w:sz w:val="28"/>
                <w:highlight w:val="none"/>
              </w:rPr>
            </w:pPr>
          </w:p>
        </w:tc>
        <w:tc>
          <w:tcPr>
            <w:tcW w:w="1127" w:type="dxa"/>
            <w:noWrap w:val="0"/>
            <w:vAlign w:val="center"/>
          </w:tcPr>
          <w:p w14:paraId="3B603762">
            <w:pPr>
              <w:spacing w:line="520" w:lineRule="exact"/>
              <w:jc w:val="center"/>
              <w:rPr>
                <w:rFonts w:hint="eastAsia" w:ascii="宋体" w:hAnsi="宋体"/>
                <w:color w:val="auto"/>
                <w:sz w:val="28"/>
                <w:highlight w:val="none"/>
              </w:rPr>
            </w:pPr>
          </w:p>
        </w:tc>
        <w:tc>
          <w:tcPr>
            <w:tcW w:w="896" w:type="dxa"/>
            <w:noWrap w:val="0"/>
            <w:vAlign w:val="center"/>
          </w:tcPr>
          <w:p w14:paraId="47A33AAE">
            <w:pPr>
              <w:spacing w:line="520" w:lineRule="exact"/>
              <w:jc w:val="center"/>
              <w:rPr>
                <w:rFonts w:hint="eastAsia" w:ascii="宋体" w:hAnsi="宋体"/>
                <w:color w:val="auto"/>
                <w:sz w:val="28"/>
                <w:highlight w:val="none"/>
              </w:rPr>
            </w:pPr>
          </w:p>
        </w:tc>
        <w:tc>
          <w:tcPr>
            <w:tcW w:w="896" w:type="dxa"/>
            <w:noWrap w:val="0"/>
            <w:vAlign w:val="center"/>
          </w:tcPr>
          <w:p w14:paraId="724316DC">
            <w:pPr>
              <w:spacing w:line="520" w:lineRule="exact"/>
              <w:jc w:val="center"/>
              <w:rPr>
                <w:rFonts w:hint="eastAsia" w:ascii="宋体" w:hAnsi="宋体"/>
                <w:color w:val="auto"/>
                <w:sz w:val="28"/>
                <w:highlight w:val="none"/>
              </w:rPr>
            </w:pPr>
          </w:p>
        </w:tc>
        <w:tc>
          <w:tcPr>
            <w:tcW w:w="2814" w:type="dxa"/>
            <w:noWrap w:val="0"/>
            <w:vAlign w:val="center"/>
          </w:tcPr>
          <w:p w14:paraId="3CEC77C2">
            <w:pPr>
              <w:spacing w:line="520" w:lineRule="exact"/>
              <w:jc w:val="center"/>
              <w:rPr>
                <w:rFonts w:hint="eastAsia" w:ascii="宋体" w:hAnsi="宋体"/>
                <w:color w:val="auto"/>
                <w:sz w:val="28"/>
                <w:highlight w:val="none"/>
              </w:rPr>
            </w:pPr>
          </w:p>
        </w:tc>
      </w:tr>
      <w:tr w14:paraId="62AF1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6812FD9B">
            <w:pPr>
              <w:spacing w:line="520" w:lineRule="exact"/>
              <w:jc w:val="center"/>
              <w:rPr>
                <w:rFonts w:hint="eastAsia" w:ascii="宋体" w:hAnsi="宋体"/>
                <w:color w:val="auto"/>
                <w:sz w:val="28"/>
                <w:highlight w:val="none"/>
              </w:rPr>
            </w:pPr>
          </w:p>
        </w:tc>
        <w:tc>
          <w:tcPr>
            <w:tcW w:w="1905" w:type="dxa"/>
            <w:noWrap w:val="0"/>
            <w:vAlign w:val="center"/>
          </w:tcPr>
          <w:p w14:paraId="7995FDE0">
            <w:pPr>
              <w:spacing w:line="520" w:lineRule="exact"/>
              <w:jc w:val="center"/>
              <w:rPr>
                <w:rFonts w:hint="eastAsia" w:ascii="宋体" w:hAnsi="宋体"/>
                <w:color w:val="auto"/>
                <w:sz w:val="28"/>
                <w:highlight w:val="none"/>
              </w:rPr>
            </w:pPr>
          </w:p>
        </w:tc>
        <w:tc>
          <w:tcPr>
            <w:tcW w:w="1127" w:type="dxa"/>
            <w:noWrap w:val="0"/>
            <w:vAlign w:val="center"/>
          </w:tcPr>
          <w:p w14:paraId="2746326B">
            <w:pPr>
              <w:spacing w:line="520" w:lineRule="exact"/>
              <w:jc w:val="center"/>
              <w:rPr>
                <w:rFonts w:hint="eastAsia" w:ascii="宋体" w:hAnsi="宋体"/>
                <w:color w:val="auto"/>
                <w:sz w:val="28"/>
                <w:highlight w:val="none"/>
              </w:rPr>
            </w:pPr>
          </w:p>
        </w:tc>
        <w:tc>
          <w:tcPr>
            <w:tcW w:w="896" w:type="dxa"/>
            <w:noWrap w:val="0"/>
            <w:vAlign w:val="center"/>
          </w:tcPr>
          <w:p w14:paraId="4EDEAEF5">
            <w:pPr>
              <w:spacing w:line="520" w:lineRule="exact"/>
              <w:jc w:val="center"/>
              <w:rPr>
                <w:rFonts w:hint="eastAsia" w:ascii="宋体" w:hAnsi="宋体"/>
                <w:color w:val="auto"/>
                <w:sz w:val="28"/>
                <w:highlight w:val="none"/>
              </w:rPr>
            </w:pPr>
          </w:p>
        </w:tc>
        <w:tc>
          <w:tcPr>
            <w:tcW w:w="896" w:type="dxa"/>
            <w:noWrap w:val="0"/>
            <w:vAlign w:val="center"/>
          </w:tcPr>
          <w:p w14:paraId="6DF4198F">
            <w:pPr>
              <w:spacing w:line="520" w:lineRule="exact"/>
              <w:jc w:val="center"/>
              <w:rPr>
                <w:rFonts w:hint="eastAsia" w:ascii="宋体" w:hAnsi="宋体"/>
                <w:color w:val="auto"/>
                <w:sz w:val="28"/>
                <w:highlight w:val="none"/>
              </w:rPr>
            </w:pPr>
          </w:p>
        </w:tc>
        <w:tc>
          <w:tcPr>
            <w:tcW w:w="2814" w:type="dxa"/>
            <w:noWrap w:val="0"/>
            <w:vAlign w:val="center"/>
          </w:tcPr>
          <w:p w14:paraId="682E365C">
            <w:pPr>
              <w:spacing w:line="520" w:lineRule="exact"/>
              <w:jc w:val="center"/>
              <w:rPr>
                <w:rFonts w:hint="eastAsia" w:ascii="宋体" w:hAnsi="宋体"/>
                <w:color w:val="auto"/>
                <w:sz w:val="28"/>
                <w:highlight w:val="none"/>
              </w:rPr>
            </w:pPr>
          </w:p>
        </w:tc>
      </w:tr>
      <w:tr w14:paraId="2CF0F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340F8894">
            <w:pPr>
              <w:spacing w:line="520" w:lineRule="exact"/>
              <w:jc w:val="center"/>
              <w:rPr>
                <w:rFonts w:hint="eastAsia" w:ascii="宋体" w:hAnsi="宋体"/>
                <w:color w:val="auto"/>
                <w:sz w:val="28"/>
                <w:highlight w:val="none"/>
              </w:rPr>
            </w:pPr>
          </w:p>
        </w:tc>
        <w:tc>
          <w:tcPr>
            <w:tcW w:w="1905" w:type="dxa"/>
            <w:noWrap w:val="0"/>
            <w:vAlign w:val="center"/>
          </w:tcPr>
          <w:p w14:paraId="0DD170AB">
            <w:pPr>
              <w:spacing w:line="520" w:lineRule="exact"/>
              <w:jc w:val="center"/>
              <w:rPr>
                <w:rFonts w:hint="eastAsia" w:ascii="宋体" w:hAnsi="宋体"/>
                <w:color w:val="auto"/>
                <w:sz w:val="28"/>
                <w:highlight w:val="none"/>
              </w:rPr>
            </w:pPr>
          </w:p>
        </w:tc>
        <w:tc>
          <w:tcPr>
            <w:tcW w:w="1127" w:type="dxa"/>
            <w:noWrap w:val="0"/>
            <w:vAlign w:val="center"/>
          </w:tcPr>
          <w:p w14:paraId="139F5687">
            <w:pPr>
              <w:spacing w:line="520" w:lineRule="exact"/>
              <w:jc w:val="center"/>
              <w:rPr>
                <w:rFonts w:hint="eastAsia" w:ascii="宋体" w:hAnsi="宋体"/>
                <w:color w:val="auto"/>
                <w:sz w:val="28"/>
                <w:highlight w:val="none"/>
              </w:rPr>
            </w:pPr>
          </w:p>
        </w:tc>
        <w:tc>
          <w:tcPr>
            <w:tcW w:w="896" w:type="dxa"/>
            <w:noWrap w:val="0"/>
            <w:vAlign w:val="center"/>
          </w:tcPr>
          <w:p w14:paraId="2B3108B5">
            <w:pPr>
              <w:spacing w:line="520" w:lineRule="exact"/>
              <w:jc w:val="center"/>
              <w:rPr>
                <w:rFonts w:hint="eastAsia" w:ascii="宋体" w:hAnsi="宋体"/>
                <w:color w:val="auto"/>
                <w:sz w:val="28"/>
                <w:highlight w:val="none"/>
              </w:rPr>
            </w:pPr>
          </w:p>
        </w:tc>
        <w:tc>
          <w:tcPr>
            <w:tcW w:w="896" w:type="dxa"/>
            <w:noWrap w:val="0"/>
            <w:vAlign w:val="center"/>
          </w:tcPr>
          <w:p w14:paraId="5450427D">
            <w:pPr>
              <w:spacing w:line="520" w:lineRule="exact"/>
              <w:jc w:val="center"/>
              <w:rPr>
                <w:rFonts w:hint="eastAsia" w:ascii="宋体" w:hAnsi="宋体"/>
                <w:color w:val="auto"/>
                <w:sz w:val="28"/>
                <w:highlight w:val="none"/>
              </w:rPr>
            </w:pPr>
          </w:p>
        </w:tc>
        <w:tc>
          <w:tcPr>
            <w:tcW w:w="2814" w:type="dxa"/>
            <w:noWrap w:val="0"/>
            <w:vAlign w:val="center"/>
          </w:tcPr>
          <w:p w14:paraId="1699E521">
            <w:pPr>
              <w:spacing w:line="520" w:lineRule="exact"/>
              <w:jc w:val="center"/>
              <w:rPr>
                <w:rFonts w:hint="eastAsia" w:ascii="宋体" w:hAnsi="宋体"/>
                <w:color w:val="auto"/>
                <w:sz w:val="28"/>
                <w:highlight w:val="none"/>
              </w:rPr>
            </w:pPr>
          </w:p>
        </w:tc>
      </w:tr>
      <w:tr w14:paraId="3798F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3CD3E672">
            <w:pPr>
              <w:spacing w:line="520" w:lineRule="exact"/>
              <w:jc w:val="center"/>
              <w:rPr>
                <w:rFonts w:hint="eastAsia" w:ascii="宋体" w:hAnsi="宋体"/>
                <w:color w:val="auto"/>
                <w:sz w:val="28"/>
                <w:highlight w:val="none"/>
              </w:rPr>
            </w:pPr>
          </w:p>
        </w:tc>
        <w:tc>
          <w:tcPr>
            <w:tcW w:w="1905" w:type="dxa"/>
            <w:noWrap w:val="0"/>
            <w:vAlign w:val="center"/>
          </w:tcPr>
          <w:p w14:paraId="55BD5B1E">
            <w:pPr>
              <w:spacing w:line="520" w:lineRule="exact"/>
              <w:jc w:val="center"/>
              <w:rPr>
                <w:rFonts w:hint="eastAsia" w:ascii="宋体" w:hAnsi="宋体"/>
                <w:color w:val="auto"/>
                <w:sz w:val="28"/>
                <w:highlight w:val="none"/>
              </w:rPr>
            </w:pPr>
          </w:p>
        </w:tc>
        <w:tc>
          <w:tcPr>
            <w:tcW w:w="1127" w:type="dxa"/>
            <w:noWrap w:val="0"/>
            <w:vAlign w:val="center"/>
          </w:tcPr>
          <w:p w14:paraId="7BBF02E2">
            <w:pPr>
              <w:spacing w:line="520" w:lineRule="exact"/>
              <w:jc w:val="center"/>
              <w:rPr>
                <w:rFonts w:hint="eastAsia" w:ascii="宋体" w:hAnsi="宋体"/>
                <w:color w:val="auto"/>
                <w:sz w:val="28"/>
                <w:highlight w:val="none"/>
              </w:rPr>
            </w:pPr>
          </w:p>
        </w:tc>
        <w:tc>
          <w:tcPr>
            <w:tcW w:w="896" w:type="dxa"/>
            <w:noWrap w:val="0"/>
            <w:vAlign w:val="center"/>
          </w:tcPr>
          <w:p w14:paraId="2D9B8B76">
            <w:pPr>
              <w:spacing w:line="520" w:lineRule="exact"/>
              <w:jc w:val="center"/>
              <w:rPr>
                <w:rFonts w:hint="eastAsia" w:ascii="宋体" w:hAnsi="宋体"/>
                <w:color w:val="auto"/>
                <w:sz w:val="28"/>
                <w:highlight w:val="none"/>
              </w:rPr>
            </w:pPr>
          </w:p>
        </w:tc>
        <w:tc>
          <w:tcPr>
            <w:tcW w:w="896" w:type="dxa"/>
            <w:noWrap w:val="0"/>
            <w:vAlign w:val="center"/>
          </w:tcPr>
          <w:p w14:paraId="36F8C194">
            <w:pPr>
              <w:spacing w:line="520" w:lineRule="exact"/>
              <w:jc w:val="center"/>
              <w:rPr>
                <w:rFonts w:hint="eastAsia" w:ascii="宋体" w:hAnsi="宋体"/>
                <w:color w:val="auto"/>
                <w:sz w:val="28"/>
                <w:highlight w:val="none"/>
              </w:rPr>
            </w:pPr>
          </w:p>
        </w:tc>
        <w:tc>
          <w:tcPr>
            <w:tcW w:w="2814" w:type="dxa"/>
            <w:noWrap w:val="0"/>
            <w:vAlign w:val="center"/>
          </w:tcPr>
          <w:p w14:paraId="0C2B1FA7">
            <w:pPr>
              <w:spacing w:line="520" w:lineRule="exact"/>
              <w:jc w:val="center"/>
              <w:rPr>
                <w:rFonts w:hint="eastAsia" w:ascii="宋体" w:hAnsi="宋体"/>
                <w:color w:val="auto"/>
                <w:sz w:val="28"/>
                <w:highlight w:val="none"/>
              </w:rPr>
            </w:pPr>
          </w:p>
        </w:tc>
      </w:tr>
    </w:tbl>
    <w:p w14:paraId="7F0C128E">
      <w:pPr>
        <w:spacing w:line="400" w:lineRule="exact"/>
        <w:rPr>
          <w:rFonts w:hint="eastAsia" w:ascii="宋体" w:hAnsi="宋体"/>
          <w:b/>
          <w:color w:val="auto"/>
          <w:sz w:val="28"/>
          <w:szCs w:val="30"/>
          <w:highlight w:val="none"/>
        </w:rPr>
      </w:pPr>
    </w:p>
    <w:p w14:paraId="5C63E7BB">
      <w:pPr>
        <w:spacing w:line="400" w:lineRule="exact"/>
        <w:jc w:val="center"/>
        <w:rPr>
          <w:rFonts w:hint="eastAsia" w:ascii="宋体" w:hAnsi="宋体"/>
          <w:b/>
          <w:color w:val="auto"/>
          <w:sz w:val="28"/>
          <w:szCs w:val="30"/>
          <w:highlight w:val="none"/>
        </w:rPr>
      </w:pPr>
    </w:p>
    <w:p w14:paraId="0D609F98">
      <w:pPr>
        <w:spacing w:line="400" w:lineRule="exact"/>
        <w:jc w:val="center"/>
        <w:rPr>
          <w:rFonts w:hint="eastAsia" w:ascii="宋体" w:hAnsi="宋体"/>
          <w:b/>
          <w:color w:val="auto"/>
          <w:sz w:val="28"/>
          <w:szCs w:val="30"/>
          <w:highlight w:val="none"/>
        </w:rPr>
      </w:pPr>
    </w:p>
    <w:p w14:paraId="6FA1033B">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（盖章）：</w:t>
      </w:r>
    </w:p>
    <w:p w14:paraId="2323A16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法定代表人或委托代理人（签字或盖章）：</w:t>
      </w:r>
    </w:p>
    <w:p w14:paraId="7510DA45">
      <w:pPr>
        <w:ind w:firstLine="480"/>
        <w:rPr>
          <w:rFonts w:hint="eastAsia" w:ascii="宋体" w:hAnsi="宋体"/>
          <w:color w:val="auto"/>
          <w:sz w:val="24"/>
          <w:szCs w:val="24"/>
          <w:highlight w:val="none"/>
        </w:rPr>
      </w:pPr>
      <w:r>
        <w:rPr>
          <w:rFonts w:hint="eastAsia" w:ascii="宋体" w:hAnsi="宋体"/>
          <w:color w:val="auto"/>
          <w:sz w:val="24"/>
          <w:szCs w:val="24"/>
          <w:highlight w:val="none"/>
        </w:rPr>
        <w:t>日期：    年     月     日</w:t>
      </w:r>
    </w:p>
    <w:p w14:paraId="0AEC7FAD">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p>
    <w:p w14:paraId="1E405781">
      <w:pPr>
        <w:jc w:val="center"/>
        <w:rPr>
          <w:rFonts w:hint="eastAsia" w:ascii="宋体" w:hAnsi="宋体" w:cs="仿宋"/>
          <w:b/>
          <w:bCs/>
          <w:color w:val="auto"/>
          <w:sz w:val="32"/>
          <w:szCs w:val="32"/>
          <w:highlight w:val="none"/>
        </w:rPr>
      </w:pPr>
    </w:p>
    <w:p w14:paraId="0ADAA0CA">
      <w:pPr>
        <w:jc w:val="center"/>
        <w:rPr>
          <w:rFonts w:hint="eastAsia" w:ascii="宋体" w:hAnsi="宋体" w:cs="仿宋"/>
          <w:b/>
          <w:bCs/>
          <w:color w:val="auto"/>
          <w:sz w:val="32"/>
          <w:szCs w:val="32"/>
          <w:highlight w:val="none"/>
        </w:rPr>
      </w:pPr>
    </w:p>
    <w:p w14:paraId="4BAF6C6C">
      <w:pPr>
        <w:numPr>
          <w:ilvl w:val="0"/>
          <w:numId w:val="0"/>
        </w:num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lang w:val="en-US" w:eastAsia="zh-CN"/>
        </w:rPr>
        <w:t>十七、</w:t>
      </w:r>
      <w:r>
        <w:rPr>
          <w:rFonts w:hint="eastAsia" w:ascii="黑体" w:hAnsi="黑体" w:eastAsia="黑体"/>
          <w:iCs/>
          <w:color w:val="auto"/>
          <w:sz w:val="32"/>
          <w:szCs w:val="32"/>
          <w:highlight w:val="none"/>
          <w:u w:val="single"/>
        </w:rPr>
        <w:t>财务状况报告及税收、社会保障资金缴纳情况承诺函</w:t>
      </w:r>
    </w:p>
    <w:p w14:paraId="6E04867A">
      <w:pPr>
        <w:numPr>
          <w:ilvl w:val="0"/>
          <w:numId w:val="0"/>
        </w:numPr>
        <w:jc w:val="both"/>
        <w:rPr>
          <w:rFonts w:hint="eastAsia" w:ascii="黑体" w:hAnsi="黑体" w:eastAsia="黑体"/>
          <w:iCs/>
          <w:color w:val="auto"/>
          <w:sz w:val="32"/>
          <w:szCs w:val="32"/>
          <w:highlight w:val="none"/>
          <w:u w:val="single"/>
        </w:rPr>
      </w:pPr>
    </w:p>
    <w:p w14:paraId="1DFBECF8">
      <w:pPr>
        <w:spacing w:line="560" w:lineRule="exact"/>
        <w:ind w:firstLine="360"/>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69031500">
      <w:pPr>
        <w:spacing w:line="560" w:lineRule="exact"/>
        <w:ind w:firstLine="650" w:firstLineChars="271"/>
        <w:rPr>
          <w:rFonts w:hint="eastAsia" w:ascii="宋体" w:hAnsi="宋体"/>
          <w:color w:val="auto"/>
          <w:sz w:val="24"/>
          <w:szCs w:val="24"/>
          <w:highlight w:val="none"/>
        </w:rPr>
      </w:pPr>
      <w:r>
        <w:rPr>
          <w:rFonts w:hint="eastAsia" w:ascii="宋体" w:hAnsi="宋体"/>
          <w:color w:val="auto"/>
          <w:sz w:val="24"/>
          <w:szCs w:val="24"/>
          <w:highlight w:val="none"/>
        </w:rPr>
        <w:t>我方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供应商</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312944FD">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（1）具有良好的商业信誉和健全的财务会计制度（财务状况报告）；</w:t>
      </w:r>
    </w:p>
    <w:p w14:paraId="79257798">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（2）有依法缴纳税收和社会保障资金的良好记录。</w:t>
      </w:r>
    </w:p>
    <w:p w14:paraId="05480138">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2A89858">
      <w:pPr>
        <w:spacing w:line="560" w:lineRule="exact"/>
        <w:ind w:firstLine="3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特此承诺</w:t>
      </w:r>
      <w:r>
        <w:rPr>
          <w:rFonts w:hint="eastAsia" w:ascii="宋体" w:hAnsi="宋体"/>
          <w:color w:val="auto"/>
          <w:sz w:val="24"/>
          <w:szCs w:val="24"/>
          <w:highlight w:val="none"/>
          <w:lang w:eastAsia="zh-CN"/>
        </w:rPr>
        <w:t>！</w:t>
      </w:r>
    </w:p>
    <w:p w14:paraId="092E3A35">
      <w:pPr>
        <w:spacing w:line="560" w:lineRule="exact"/>
        <w:ind w:firstLine="360"/>
        <w:rPr>
          <w:rFonts w:hint="eastAsia" w:ascii="宋体" w:hAnsi="宋体"/>
          <w:color w:val="auto"/>
          <w:sz w:val="24"/>
          <w:szCs w:val="24"/>
          <w:highlight w:val="none"/>
        </w:rPr>
      </w:pPr>
    </w:p>
    <w:p w14:paraId="2C173C34">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（盖章）：</w:t>
      </w:r>
    </w:p>
    <w:p w14:paraId="4E11C0AD">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法定代表人或委托代理人（签字或盖章）：</w:t>
      </w:r>
    </w:p>
    <w:p w14:paraId="49DDEF87">
      <w:pPr>
        <w:ind w:firstLine="480"/>
        <w:rPr>
          <w:rFonts w:hint="eastAsia" w:ascii="宋体" w:hAnsi="宋体"/>
          <w:color w:val="auto"/>
          <w:sz w:val="24"/>
          <w:szCs w:val="24"/>
          <w:highlight w:val="none"/>
        </w:rPr>
      </w:pPr>
      <w:r>
        <w:rPr>
          <w:rFonts w:hint="eastAsia" w:ascii="宋体" w:hAnsi="宋体"/>
          <w:color w:val="auto"/>
          <w:sz w:val="24"/>
          <w:szCs w:val="24"/>
          <w:highlight w:val="none"/>
        </w:rPr>
        <w:t>日期：    年     月     日</w:t>
      </w:r>
    </w:p>
    <w:p w14:paraId="0361E80F">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2AF4EA39">
      <w:pPr>
        <w:numPr>
          <w:ilvl w:val="0"/>
          <w:numId w:val="0"/>
        </w:numPr>
        <w:jc w:val="both"/>
        <w:rPr>
          <w:rFonts w:hint="eastAsia" w:ascii="黑体" w:hAnsi="黑体" w:eastAsia="黑体" w:cs="Times New Roman"/>
          <w:iCs/>
          <w:color w:val="auto"/>
          <w:sz w:val="32"/>
          <w:szCs w:val="32"/>
          <w:highlight w:val="none"/>
          <w:u w:val="single"/>
          <w:lang w:val="en-US" w:eastAsia="zh-CN"/>
        </w:rPr>
      </w:pPr>
    </w:p>
    <w:p w14:paraId="1288DB3D">
      <w:pPr>
        <w:pStyle w:val="12"/>
        <w:numPr>
          <w:ilvl w:val="0"/>
          <w:numId w:val="6"/>
        </w:numPr>
        <w:ind w:firstLine="0"/>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★服务车辆汇总表</w:t>
      </w:r>
    </w:p>
    <w:p w14:paraId="3E9EE7F0">
      <w:pPr>
        <w:pStyle w:val="12"/>
        <w:numPr>
          <w:ilvl w:val="0"/>
          <w:numId w:val="0"/>
        </w:numPr>
        <w:jc w:val="center"/>
        <w:rPr>
          <w:rFonts w:hint="eastAsia" w:ascii="仿宋" w:hAnsi="仿宋" w:eastAsia="仿宋" w:cs="仿宋"/>
          <w:iCs/>
          <w:color w:val="auto"/>
          <w:sz w:val="24"/>
          <w:szCs w:val="24"/>
          <w:highlight w:val="none"/>
          <w:u w:val="none"/>
          <w:lang w:val="en-US" w:eastAsia="zh-CN"/>
        </w:rPr>
      </w:pPr>
    </w:p>
    <w:p w14:paraId="46E9C3AB">
      <w:pPr>
        <w:pStyle w:val="12"/>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t>（格式可自拟）</w:t>
      </w:r>
    </w:p>
    <w:p w14:paraId="7651C4C9">
      <w:pPr>
        <w:pStyle w:val="12"/>
        <w:numPr>
          <w:ilvl w:val="0"/>
          <w:numId w:val="0"/>
        </w:numPr>
        <w:jc w:val="center"/>
        <w:rPr>
          <w:rFonts w:hint="eastAsia" w:ascii="仿宋" w:hAnsi="仿宋" w:eastAsia="仿宋" w:cs="仿宋"/>
          <w:iCs/>
          <w:color w:val="auto"/>
          <w:sz w:val="24"/>
          <w:szCs w:val="24"/>
          <w:highlight w:val="none"/>
          <w:u w:val="none"/>
          <w:lang w:val="en-US" w:eastAsia="zh-CN"/>
        </w:rPr>
      </w:pPr>
    </w:p>
    <w:tbl>
      <w:tblPr>
        <w:tblStyle w:val="31"/>
        <w:tblW w:w="895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39"/>
        <w:gridCol w:w="1446"/>
        <w:gridCol w:w="859"/>
        <w:gridCol w:w="859"/>
        <w:gridCol w:w="1132"/>
        <w:gridCol w:w="873"/>
        <w:gridCol w:w="1742"/>
      </w:tblGrid>
      <w:tr w14:paraId="338E8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blHeader/>
        </w:trPr>
        <w:tc>
          <w:tcPr>
            <w:tcW w:w="900" w:type="dxa"/>
            <w:shd w:val="clear" w:color="auto" w:fill="D9D9D9"/>
            <w:noWrap w:val="0"/>
            <w:vAlign w:val="center"/>
          </w:tcPr>
          <w:p w14:paraId="3C068BEF">
            <w:pPr>
              <w:jc w:val="center"/>
              <w:rPr>
                <w:rFonts w:hint="eastAsia" w:hAnsi="宋体"/>
                <w:color w:val="auto"/>
                <w:highlight w:val="none"/>
                <w:lang w:val="en-US" w:eastAsia="zh-CN"/>
              </w:rPr>
            </w:pPr>
            <w:r>
              <w:rPr>
                <w:rFonts w:hint="eastAsia" w:hAnsi="宋体"/>
                <w:color w:val="auto"/>
                <w:highlight w:val="none"/>
                <w:lang w:val="en-US" w:eastAsia="zh-CN"/>
              </w:rPr>
              <w:t>车辆</w:t>
            </w:r>
          </w:p>
          <w:p w14:paraId="38E52CCE">
            <w:pPr>
              <w:jc w:val="center"/>
              <w:rPr>
                <w:rFonts w:hint="eastAsia" w:hAnsi="宋体"/>
                <w:color w:val="auto"/>
                <w:highlight w:val="none"/>
              </w:rPr>
            </w:pPr>
            <w:r>
              <w:rPr>
                <w:rFonts w:hint="eastAsia" w:hAnsi="宋体"/>
                <w:color w:val="auto"/>
                <w:highlight w:val="none"/>
              </w:rPr>
              <w:t>序号</w:t>
            </w:r>
          </w:p>
        </w:tc>
        <w:tc>
          <w:tcPr>
            <w:tcW w:w="1139" w:type="dxa"/>
            <w:shd w:val="clear" w:color="auto" w:fill="D9D9D9"/>
            <w:noWrap w:val="0"/>
            <w:vAlign w:val="center"/>
          </w:tcPr>
          <w:p w14:paraId="20BED564">
            <w:pPr>
              <w:jc w:val="center"/>
              <w:rPr>
                <w:rFonts w:hint="eastAsia" w:hAnsi="宋体"/>
                <w:color w:val="auto"/>
                <w:highlight w:val="none"/>
              </w:rPr>
            </w:pPr>
            <w:r>
              <w:rPr>
                <w:rFonts w:hint="eastAsia" w:hAnsi="宋体"/>
                <w:color w:val="auto"/>
                <w:highlight w:val="none"/>
              </w:rPr>
              <w:t>车辆牌号</w:t>
            </w:r>
          </w:p>
        </w:tc>
        <w:tc>
          <w:tcPr>
            <w:tcW w:w="1446" w:type="dxa"/>
            <w:shd w:val="clear" w:color="auto" w:fill="D9D9D9"/>
            <w:noWrap w:val="0"/>
            <w:vAlign w:val="center"/>
          </w:tcPr>
          <w:p w14:paraId="1B1C19AF">
            <w:pPr>
              <w:jc w:val="center"/>
              <w:rPr>
                <w:rFonts w:hint="eastAsia" w:hAnsi="宋体"/>
                <w:color w:val="auto"/>
                <w:highlight w:val="none"/>
                <w:lang w:val="en-US" w:eastAsia="zh-CN"/>
              </w:rPr>
            </w:pPr>
            <w:r>
              <w:rPr>
                <w:rFonts w:hint="eastAsia" w:hAnsi="宋体"/>
                <w:color w:val="auto"/>
                <w:highlight w:val="none"/>
                <w:lang w:val="en-US" w:eastAsia="zh-CN"/>
              </w:rPr>
              <w:t>驾驶员</w:t>
            </w:r>
          </w:p>
          <w:p w14:paraId="6F46E9AC">
            <w:pPr>
              <w:jc w:val="center"/>
              <w:rPr>
                <w:rFonts w:hint="default" w:hAnsi="宋体" w:eastAsia="宋体"/>
                <w:color w:val="auto"/>
                <w:highlight w:val="none"/>
                <w:lang w:val="en-US" w:eastAsia="zh-CN"/>
              </w:rPr>
            </w:pPr>
            <w:r>
              <w:rPr>
                <w:rFonts w:hint="eastAsia" w:hAnsi="宋体"/>
                <w:color w:val="auto"/>
                <w:highlight w:val="none"/>
                <w:lang w:val="en-US" w:eastAsia="zh-CN"/>
              </w:rPr>
              <w:t>姓名</w:t>
            </w:r>
          </w:p>
        </w:tc>
        <w:tc>
          <w:tcPr>
            <w:tcW w:w="859" w:type="dxa"/>
            <w:shd w:val="clear" w:color="auto" w:fill="D9D9D9"/>
            <w:noWrap w:val="0"/>
            <w:vAlign w:val="center"/>
          </w:tcPr>
          <w:p w14:paraId="2E331138">
            <w:pPr>
              <w:jc w:val="center"/>
              <w:rPr>
                <w:rFonts w:hint="eastAsia" w:hAnsi="宋体"/>
                <w:color w:val="auto"/>
                <w:highlight w:val="none"/>
              </w:rPr>
            </w:pPr>
            <w:r>
              <w:rPr>
                <w:rFonts w:hint="eastAsia" w:hAnsi="宋体"/>
                <w:color w:val="auto"/>
                <w:highlight w:val="none"/>
              </w:rPr>
              <w:t>品牌</w:t>
            </w:r>
          </w:p>
        </w:tc>
        <w:tc>
          <w:tcPr>
            <w:tcW w:w="859" w:type="dxa"/>
            <w:shd w:val="clear" w:color="auto" w:fill="D9D9D9"/>
            <w:noWrap w:val="0"/>
            <w:vAlign w:val="center"/>
          </w:tcPr>
          <w:p w14:paraId="72EE9243">
            <w:pPr>
              <w:jc w:val="center"/>
              <w:rPr>
                <w:rFonts w:hint="eastAsia" w:hAnsi="宋体"/>
                <w:color w:val="auto"/>
                <w:highlight w:val="none"/>
              </w:rPr>
            </w:pPr>
            <w:r>
              <w:rPr>
                <w:rFonts w:hint="eastAsia" w:hAnsi="宋体"/>
                <w:color w:val="auto"/>
                <w:highlight w:val="none"/>
              </w:rPr>
              <w:t>型号</w:t>
            </w:r>
          </w:p>
        </w:tc>
        <w:tc>
          <w:tcPr>
            <w:tcW w:w="1132" w:type="dxa"/>
            <w:shd w:val="clear" w:color="auto" w:fill="D9D9D9"/>
            <w:noWrap w:val="0"/>
            <w:vAlign w:val="center"/>
          </w:tcPr>
          <w:p w14:paraId="7520CAC5">
            <w:pPr>
              <w:jc w:val="center"/>
              <w:rPr>
                <w:rFonts w:hint="eastAsia" w:hAnsi="宋体"/>
                <w:color w:val="auto"/>
                <w:highlight w:val="none"/>
              </w:rPr>
            </w:pPr>
            <w:r>
              <w:rPr>
                <w:rFonts w:hint="eastAsia" w:hAnsi="宋体"/>
                <w:color w:val="auto"/>
                <w:highlight w:val="none"/>
              </w:rPr>
              <w:t>购置时间</w:t>
            </w:r>
          </w:p>
        </w:tc>
        <w:tc>
          <w:tcPr>
            <w:tcW w:w="873" w:type="dxa"/>
            <w:shd w:val="clear" w:color="auto" w:fill="D9D9D9"/>
            <w:noWrap w:val="0"/>
            <w:vAlign w:val="center"/>
          </w:tcPr>
          <w:p w14:paraId="490DB95C">
            <w:pPr>
              <w:jc w:val="center"/>
              <w:rPr>
                <w:rFonts w:hint="eastAsia" w:hAnsi="宋体"/>
                <w:color w:val="auto"/>
                <w:highlight w:val="none"/>
              </w:rPr>
            </w:pPr>
            <w:r>
              <w:rPr>
                <w:rFonts w:hint="eastAsia" w:hAnsi="宋体"/>
                <w:color w:val="auto"/>
                <w:highlight w:val="none"/>
              </w:rPr>
              <w:t>座数</w:t>
            </w:r>
          </w:p>
        </w:tc>
        <w:tc>
          <w:tcPr>
            <w:tcW w:w="1742" w:type="dxa"/>
            <w:shd w:val="clear" w:color="auto" w:fill="D9D9D9"/>
            <w:noWrap w:val="0"/>
            <w:vAlign w:val="center"/>
          </w:tcPr>
          <w:p w14:paraId="4BF4D660">
            <w:pPr>
              <w:jc w:val="center"/>
              <w:rPr>
                <w:rFonts w:hint="eastAsia" w:hAnsi="宋体"/>
                <w:color w:val="auto"/>
                <w:highlight w:val="none"/>
              </w:rPr>
            </w:pPr>
            <w:r>
              <w:rPr>
                <w:rFonts w:hint="eastAsia" w:hAnsi="宋体"/>
                <w:color w:val="auto"/>
                <w:highlight w:val="none"/>
              </w:rPr>
              <w:t>备注</w:t>
            </w:r>
          </w:p>
        </w:tc>
      </w:tr>
      <w:tr w14:paraId="0621D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900" w:type="dxa"/>
            <w:noWrap w:val="0"/>
            <w:vAlign w:val="center"/>
          </w:tcPr>
          <w:p w14:paraId="0F894F60">
            <w:pPr>
              <w:jc w:val="center"/>
              <w:rPr>
                <w:rFonts w:hint="eastAsia" w:hAnsi="宋体"/>
                <w:color w:val="auto"/>
                <w:highlight w:val="none"/>
              </w:rPr>
            </w:pPr>
            <w:r>
              <w:rPr>
                <w:rFonts w:hint="eastAsia" w:hAnsi="宋体"/>
                <w:color w:val="auto"/>
                <w:highlight w:val="none"/>
              </w:rPr>
              <w:t>1</w:t>
            </w:r>
          </w:p>
        </w:tc>
        <w:tc>
          <w:tcPr>
            <w:tcW w:w="1139" w:type="dxa"/>
            <w:noWrap w:val="0"/>
            <w:vAlign w:val="center"/>
          </w:tcPr>
          <w:p w14:paraId="40353627">
            <w:pPr>
              <w:spacing w:line="0" w:lineRule="atLeast"/>
              <w:jc w:val="center"/>
              <w:rPr>
                <w:rFonts w:hint="eastAsia" w:hAnsi="宋体"/>
                <w:color w:val="auto"/>
                <w:sz w:val="32"/>
                <w:szCs w:val="21"/>
                <w:highlight w:val="none"/>
              </w:rPr>
            </w:pPr>
          </w:p>
        </w:tc>
        <w:tc>
          <w:tcPr>
            <w:tcW w:w="1446" w:type="dxa"/>
            <w:noWrap w:val="0"/>
            <w:vAlign w:val="center"/>
          </w:tcPr>
          <w:p w14:paraId="54DCE238">
            <w:pPr>
              <w:spacing w:line="0" w:lineRule="atLeast"/>
              <w:jc w:val="center"/>
              <w:rPr>
                <w:rFonts w:hint="eastAsia" w:hAnsi="宋体"/>
                <w:color w:val="auto"/>
                <w:sz w:val="32"/>
                <w:szCs w:val="21"/>
                <w:highlight w:val="none"/>
              </w:rPr>
            </w:pPr>
          </w:p>
        </w:tc>
        <w:tc>
          <w:tcPr>
            <w:tcW w:w="859" w:type="dxa"/>
            <w:noWrap w:val="0"/>
            <w:vAlign w:val="center"/>
          </w:tcPr>
          <w:p w14:paraId="0B164B70">
            <w:pPr>
              <w:spacing w:line="0" w:lineRule="atLeast"/>
              <w:jc w:val="center"/>
              <w:rPr>
                <w:rFonts w:hint="eastAsia" w:hAnsi="宋体"/>
                <w:color w:val="auto"/>
                <w:sz w:val="32"/>
                <w:szCs w:val="21"/>
                <w:highlight w:val="none"/>
              </w:rPr>
            </w:pPr>
          </w:p>
        </w:tc>
        <w:tc>
          <w:tcPr>
            <w:tcW w:w="859" w:type="dxa"/>
            <w:noWrap w:val="0"/>
            <w:vAlign w:val="center"/>
          </w:tcPr>
          <w:p w14:paraId="6B8EE62A">
            <w:pPr>
              <w:spacing w:line="0" w:lineRule="atLeast"/>
              <w:jc w:val="center"/>
              <w:rPr>
                <w:rFonts w:hint="eastAsia" w:hAnsi="宋体"/>
                <w:color w:val="auto"/>
                <w:sz w:val="32"/>
                <w:szCs w:val="21"/>
                <w:highlight w:val="none"/>
              </w:rPr>
            </w:pPr>
          </w:p>
        </w:tc>
        <w:tc>
          <w:tcPr>
            <w:tcW w:w="1132" w:type="dxa"/>
            <w:noWrap w:val="0"/>
            <w:vAlign w:val="center"/>
          </w:tcPr>
          <w:p w14:paraId="3E43C8CF">
            <w:pPr>
              <w:spacing w:line="0" w:lineRule="atLeast"/>
              <w:jc w:val="center"/>
              <w:rPr>
                <w:rFonts w:hint="eastAsia" w:hAnsi="宋体"/>
                <w:color w:val="auto"/>
                <w:sz w:val="32"/>
                <w:szCs w:val="21"/>
                <w:highlight w:val="none"/>
              </w:rPr>
            </w:pPr>
          </w:p>
        </w:tc>
        <w:tc>
          <w:tcPr>
            <w:tcW w:w="873" w:type="dxa"/>
            <w:noWrap w:val="0"/>
            <w:vAlign w:val="center"/>
          </w:tcPr>
          <w:p w14:paraId="6F9F8A06">
            <w:pPr>
              <w:spacing w:line="0" w:lineRule="atLeast"/>
              <w:jc w:val="center"/>
              <w:rPr>
                <w:rFonts w:hint="eastAsia" w:hAnsi="宋体"/>
                <w:color w:val="auto"/>
                <w:sz w:val="32"/>
                <w:szCs w:val="21"/>
                <w:highlight w:val="none"/>
              </w:rPr>
            </w:pPr>
          </w:p>
        </w:tc>
        <w:tc>
          <w:tcPr>
            <w:tcW w:w="1742" w:type="dxa"/>
            <w:noWrap w:val="0"/>
            <w:vAlign w:val="center"/>
          </w:tcPr>
          <w:p w14:paraId="4B0056D0">
            <w:pPr>
              <w:spacing w:line="0" w:lineRule="atLeast"/>
              <w:jc w:val="center"/>
              <w:rPr>
                <w:rFonts w:hint="eastAsia" w:hAnsi="宋体"/>
                <w:color w:val="auto"/>
                <w:sz w:val="32"/>
                <w:szCs w:val="21"/>
                <w:highlight w:val="none"/>
              </w:rPr>
            </w:pPr>
          </w:p>
        </w:tc>
      </w:tr>
      <w:tr w14:paraId="02B2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14:paraId="76AD6F2F">
            <w:pPr>
              <w:jc w:val="center"/>
              <w:rPr>
                <w:rFonts w:hint="eastAsia" w:hAnsi="宋体"/>
                <w:color w:val="auto"/>
                <w:highlight w:val="none"/>
              </w:rPr>
            </w:pPr>
            <w:r>
              <w:rPr>
                <w:rFonts w:hint="eastAsia" w:hAnsi="宋体"/>
                <w:color w:val="auto"/>
                <w:highlight w:val="none"/>
              </w:rPr>
              <w:t>2</w:t>
            </w:r>
          </w:p>
        </w:tc>
        <w:tc>
          <w:tcPr>
            <w:tcW w:w="1139" w:type="dxa"/>
            <w:noWrap w:val="0"/>
            <w:vAlign w:val="center"/>
          </w:tcPr>
          <w:p w14:paraId="7BF318B7">
            <w:pPr>
              <w:jc w:val="center"/>
              <w:rPr>
                <w:rFonts w:hint="eastAsia" w:hAnsi="宋体"/>
                <w:color w:val="auto"/>
                <w:sz w:val="32"/>
                <w:szCs w:val="21"/>
                <w:highlight w:val="none"/>
              </w:rPr>
            </w:pPr>
          </w:p>
        </w:tc>
        <w:tc>
          <w:tcPr>
            <w:tcW w:w="1446" w:type="dxa"/>
            <w:noWrap w:val="0"/>
            <w:vAlign w:val="center"/>
          </w:tcPr>
          <w:p w14:paraId="061CBA66">
            <w:pPr>
              <w:jc w:val="center"/>
              <w:rPr>
                <w:rFonts w:hint="eastAsia" w:hAnsi="宋体"/>
                <w:color w:val="auto"/>
                <w:sz w:val="32"/>
                <w:szCs w:val="21"/>
                <w:highlight w:val="none"/>
              </w:rPr>
            </w:pPr>
          </w:p>
        </w:tc>
        <w:tc>
          <w:tcPr>
            <w:tcW w:w="859" w:type="dxa"/>
            <w:noWrap w:val="0"/>
            <w:vAlign w:val="center"/>
          </w:tcPr>
          <w:p w14:paraId="602EB0C4">
            <w:pPr>
              <w:jc w:val="center"/>
              <w:rPr>
                <w:rFonts w:hint="eastAsia" w:hAnsi="宋体"/>
                <w:color w:val="auto"/>
                <w:sz w:val="32"/>
                <w:szCs w:val="21"/>
                <w:highlight w:val="none"/>
              </w:rPr>
            </w:pPr>
          </w:p>
        </w:tc>
        <w:tc>
          <w:tcPr>
            <w:tcW w:w="859" w:type="dxa"/>
            <w:noWrap w:val="0"/>
            <w:vAlign w:val="center"/>
          </w:tcPr>
          <w:p w14:paraId="0BED6B3D">
            <w:pPr>
              <w:jc w:val="center"/>
              <w:rPr>
                <w:rFonts w:hint="eastAsia" w:hAnsi="宋体"/>
                <w:color w:val="auto"/>
                <w:sz w:val="32"/>
                <w:szCs w:val="21"/>
                <w:highlight w:val="none"/>
              </w:rPr>
            </w:pPr>
          </w:p>
        </w:tc>
        <w:tc>
          <w:tcPr>
            <w:tcW w:w="1132" w:type="dxa"/>
            <w:noWrap w:val="0"/>
            <w:vAlign w:val="center"/>
          </w:tcPr>
          <w:p w14:paraId="577CDA23">
            <w:pPr>
              <w:jc w:val="center"/>
              <w:rPr>
                <w:rFonts w:hint="eastAsia" w:hAnsi="宋体"/>
                <w:color w:val="auto"/>
                <w:sz w:val="32"/>
                <w:szCs w:val="21"/>
                <w:highlight w:val="none"/>
              </w:rPr>
            </w:pPr>
          </w:p>
        </w:tc>
        <w:tc>
          <w:tcPr>
            <w:tcW w:w="873" w:type="dxa"/>
            <w:noWrap w:val="0"/>
            <w:vAlign w:val="center"/>
          </w:tcPr>
          <w:p w14:paraId="22AFC961">
            <w:pPr>
              <w:jc w:val="center"/>
              <w:rPr>
                <w:rFonts w:hint="eastAsia" w:hAnsi="宋体"/>
                <w:color w:val="auto"/>
                <w:sz w:val="32"/>
                <w:szCs w:val="21"/>
                <w:highlight w:val="none"/>
              </w:rPr>
            </w:pPr>
          </w:p>
        </w:tc>
        <w:tc>
          <w:tcPr>
            <w:tcW w:w="1742" w:type="dxa"/>
            <w:noWrap w:val="0"/>
            <w:vAlign w:val="center"/>
          </w:tcPr>
          <w:p w14:paraId="1BE9BE8B">
            <w:pPr>
              <w:jc w:val="center"/>
              <w:rPr>
                <w:rFonts w:hint="eastAsia" w:hAnsi="宋体"/>
                <w:color w:val="auto"/>
                <w:sz w:val="32"/>
                <w:szCs w:val="21"/>
                <w:highlight w:val="none"/>
              </w:rPr>
            </w:pPr>
          </w:p>
        </w:tc>
      </w:tr>
      <w:tr w14:paraId="704E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14:paraId="5E31C0EC">
            <w:pPr>
              <w:jc w:val="center"/>
              <w:rPr>
                <w:rFonts w:hint="eastAsia" w:hAnsi="宋体"/>
                <w:color w:val="auto"/>
                <w:highlight w:val="none"/>
              </w:rPr>
            </w:pPr>
            <w:r>
              <w:rPr>
                <w:rFonts w:hint="eastAsia" w:hAnsi="宋体"/>
                <w:color w:val="auto"/>
                <w:highlight w:val="none"/>
              </w:rPr>
              <w:t>3</w:t>
            </w:r>
          </w:p>
        </w:tc>
        <w:tc>
          <w:tcPr>
            <w:tcW w:w="1139" w:type="dxa"/>
            <w:noWrap w:val="0"/>
            <w:vAlign w:val="center"/>
          </w:tcPr>
          <w:p w14:paraId="072E258D">
            <w:pPr>
              <w:jc w:val="center"/>
              <w:rPr>
                <w:rFonts w:hint="eastAsia" w:hAnsi="宋体"/>
                <w:color w:val="auto"/>
                <w:sz w:val="32"/>
                <w:szCs w:val="21"/>
                <w:highlight w:val="none"/>
              </w:rPr>
            </w:pPr>
          </w:p>
        </w:tc>
        <w:tc>
          <w:tcPr>
            <w:tcW w:w="1446" w:type="dxa"/>
            <w:noWrap w:val="0"/>
            <w:vAlign w:val="center"/>
          </w:tcPr>
          <w:p w14:paraId="18E6E258">
            <w:pPr>
              <w:jc w:val="center"/>
              <w:rPr>
                <w:rFonts w:hint="eastAsia" w:hAnsi="宋体"/>
                <w:color w:val="auto"/>
                <w:sz w:val="32"/>
                <w:szCs w:val="21"/>
                <w:highlight w:val="none"/>
              </w:rPr>
            </w:pPr>
          </w:p>
        </w:tc>
        <w:tc>
          <w:tcPr>
            <w:tcW w:w="859" w:type="dxa"/>
            <w:noWrap w:val="0"/>
            <w:vAlign w:val="center"/>
          </w:tcPr>
          <w:p w14:paraId="33464588">
            <w:pPr>
              <w:jc w:val="center"/>
              <w:rPr>
                <w:rFonts w:hint="eastAsia" w:hAnsi="宋体"/>
                <w:color w:val="auto"/>
                <w:sz w:val="32"/>
                <w:szCs w:val="21"/>
                <w:highlight w:val="none"/>
              </w:rPr>
            </w:pPr>
          </w:p>
        </w:tc>
        <w:tc>
          <w:tcPr>
            <w:tcW w:w="859" w:type="dxa"/>
            <w:noWrap w:val="0"/>
            <w:vAlign w:val="center"/>
          </w:tcPr>
          <w:p w14:paraId="020F4DC0">
            <w:pPr>
              <w:jc w:val="center"/>
              <w:rPr>
                <w:rFonts w:hint="eastAsia" w:hAnsi="宋体"/>
                <w:color w:val="auto"/>
                <w:sz w:val="32"/>
                <w:szCs w:val="21"/>
                <w:highlight w:val="none"/>
              </w:rPr>
            </w:pPr>
          </w:p>
        </w:tc>
        <w:tc>
          <w:tcPr>
            <w:tcW w:w="1132" w:type="dxa"/>
            <w:noWrap w:val="0"/>
            <w:vAlign w:val="center"/>
          </w:tcPr>
          <w:p w14:paraId="527899D9">
            <w:pPr>
              <w:jc w:val="center"/>
              <w:rPr>
                <w:rFonts w:hint="eastAsia" w:hAnsi="宋体"/>
                <w:color w:val="auto"/>
                <w:sz w:val="32"/>
                <w:szCs w:val="21"/>
                <w:highlight w:val="none"/>
              </w:rPr>
            </w:pPr>
          </w:p>
        </w:tc>
        <w:tc>
          <w:tcPr>
            <w:tcW w:w="873" w:type="dxa"/>
            <w:noWrap w:val="0"/>
            <w:vAlign w:val="center"/>
          </w:tcPr>
          <w:p w14:paraId="3ACD7526">
            <w:pPr>
              <w:jc w:val="center"/>
              <w:rPr>
                <w:rFonts w:hint="eastAsia" w:hAnsi="宋体"/>
                <w:color w:val="auto"/>
                <w:sz w:val="32"/>
                <w:szCs w:val="21"/>
                <w:highlight w:val="none"/>
              </w:rPr>
            </w:pPr>
          </w:p>
        </w:tc>
        <w:tc>
          <w:tcPr>
            <w:tcW w:w="1742" w:type="dxa"/>
            <w:noWrap w:val="0"/>
            <w:vAlign w:val="center"/>
          </w:tcPr>
          <w:p w14:paraId="35EAAEEB">
            <w:pPr>
              <w:jc w:val="center"/>
              <w:rPr>
                <w:rFonts w:hint="eastAsia" w:hAnsi="宋体"/>
                <w:color w:val="auto"/>
                <w:sz w:val="32"/>
                <w:szCs w:val="21"/>
                <w:highlight w:val="none"/>
              </w:rPr>
            </w:pPr>
          </w:p>
        </w:tc>
      </w:tr>
    </w:tbl>
    <w:p w14:paraId="16D2BBB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textAlignment w:val="auto"/>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rPr>
        <w:t>说明：</w:t>
      </w:r>
      <w:r>
        <w:rPr>
          <w:rFonts w:hint="eastAsia" w:ascii="宋体" w:hAnsi="宋体" w:cs="宋体"/>
          <w:color w:val="auto"/>
          <w:kern w:val="2"/>
          <w:szCs w:val="21"/>
          <w:highlight w:val="none"/>
          <w:lang w:val="en-US" w:eastAsia="zh-CN"/>
        </w:rPr>
        <w:t>必须提供</w:t>
      </w:r>
      <w:r>
        <w:rPr>
          <w:rFonts w:hint="eastAsia" w:ascii="宋体" w:hAnsi="宋体" w:cs="宋体"/>
          <w:color w:val="auto"/>
          <w:kern w:val="2"/>
          <w:szCs w:val="21"/>
          <w:highlight w:val="none"/>
        </w:rPr>
        <w:t>以上拟投入的</w:t>
      </w:r>
      <w:r>
        <w:rPr>
          <w:rFonts w:hint="eastAsia" w:ascii="宋体" w:hAnsi="宋体" w:cs="宋体"/>
          <w:b/>
          <w:bCs/>
          <w:color w:val="auto"/>
          <w:kern w:val="2"/>
          <w:szCs w:val="21"/>
          <w:highlight w:val="none"/>
        </w:rPr>
        <w:t>承运车辆数量、</w:t>
      </w:r>
      <w:r>
        <w:rPr>
          <w:rFonts w:hint="eastAsia" w:ascii="宋体" w:hAnsi="宋体" w:cs="宋体"/>
          <w:b/>
          <w:bCs/>
          <w:color w:val="auto"/>
          <w:kern w:val="2"/>
          <w:szCs w:val="21"/>
          <w:highlight w:val="none"/>
          <w:lang w:val="en-US" w:eastAsia="zh-CN"/>
        </w:rPr>
        <w:t>车辆安全检测报告</w:t>
      </w:r>
      <w:r>
        <w:rPr>
          <w:rFonts w:hint="eastAsia" w:ascii="宋体" w:hAnsi="宋体" w:cs="宋体"/>
          <w:color w:val="auto"/>
          <w:kern w:val="2"/>
          <w:szCs w:val="21"/>
          <w:highlight w:val="none"/>
          <w:lang w:val="en-US" w:eastAsia="zh-CN"/>
        </w:rPr>
        <w:t>、</w:t>
      </w:r>
      <w:r>
        <w:rPr>
          <w:rFonts w:hint="eastAsia" w:ascii="宋体" w:hAnsi="宋体" w:cs="宋体"/>
          <w:b/>
          <w:bCs/>
          <w:color w:val="auto"/>
          <w:kern w:val="2"/>
          <w:szCs w:val="21"/>
          <w:highlight w:val="none"/>
        </w:rPr>
        <w:t>车牌号、</w:t>
      </w:r>
      <w:r>
        <w:rPr>
          <w:rFonts w:hint="eastAsia" w:ascii="宋体" w:hAnsi="宋体" w:cs="宋体"/>
          <w:b/>
          <w:bCs/>
          <w:color w:val="auto"/>
          <w:kern w:val="2"/>
          <w:szCs w:val="21"/>
          <w:highlight w:val="none"/>
          <w:lang w:val="en-US" w:eastAsia="zh-CN"/>
        </w:rPr>
        <w:t>车辆行驶</w:t>
      </w:r>
      <w:r>
        <w:rPr>
          <w:rFonts w:hint="eastAsia" w:ascii="宋体" w:hAnsi="宋体" w:cs="宋体"/>
          <w:b/>
          <w:bCs/>
          <w:color w:val="auto"/>
          <w:kern w:val="2"/>
          <w:szCs w:val="21"/>
          <w:highlight w:val="none"/>
        </w:rPr>
        <w:t>证、保险、驾驶员姓名、</w:t>
      </w:r>
      <w:r>
        <w:rPr>
          <w:rFonts w:hint="eastAsia" w:ascii="宋体" w:hAnsi="宋体" w:cs="宋体"/>
          <w:b/>
          <w:bCs/>
          <w:color w:val="auto"/>
          <w:kern w:val="2"/>
          <w:szCs w:val="21"/>
          <w:highlight w:val="none"/>
          <w:lang w:val="en-US" w:eastAsia="zh-CN"/>
        </w:rPr>
        <w:t>符合车型的</w:t>
      </w:r>
      <w:r>
        <w:rPr>
          <w:rFonts w:hint="eastAsia" w:ascii="宋体" w:hAnsi="宋体" w:cs="宋体"/>
          <w:b/>
          <w:bCs/>
          <w:color w:val="auto"/>
          <w:kern w:val="2"/>
          <w:szCs w:val="21"/>
          <w:highlight w:val="none"/>
        </w:rPr>
        <w:t>驾驶员证件、劳</w:t>
      </w:r>
      <w:r>
        <w:rPr>
          <w:rFonts w:hint="eastAsia" w:ascii="宋体" w:hAnsi="宋体" w:cs="宋体"/>
          <w:b/>
          <w:bCs/>
          <w:color w:val="auto"/>
          <w:kern w:val="2"/>
          <w:szCs w:val="21"/>
          <w:highlight w:val="none"/>
          <w:lang w:val="en-US" w:eastAsia="zh-CN"/>
        </w:rPr>
        <w:t>动（</w:t>
      </w:r>
      <w:r>
        <w:rPr>
          <w:rFonts w:hint="eastAsia" w:ascii="宋体" w:hAnsi="宋体" w:cs="宋体"/>
          <w:b/>
          <w:bCs/>
          <w:color w:val="auto"/>
          <w:kern w:val="2"/>
          <w:szCs w:val="21"/>
          <w:highlight w:val="none"/>
        </w:rPr>
        <w:t>务</w:t>
      </w:r>
      <w:r>
        <w:rPr>
          <w:rFonts w:hint="eastAsia" w:ascii="宋体" w:hAnsi="宋体" w:cs="宋体"/>
          <w:b/>
          <w:bCs/>
          <w:color w:val="auto"/>
          <w:kern w:val="2"/>
          <w:szCs w:val="21"/>
          <w:highlight w:val="none"/>
          <w:lang w:eastAsia="zh-CN"/>
        </w:rPr>
        <w:t>）</w:t>
      </w:r>
      <w:r>
        <w:rPr>
          <w:rFonts w:hint="eastAsia" w:ascii="宋体" w:hAnsi="宋体" w:cs="宋体"/>
          <w:b/>
          <w:bCs/>
          <w:color w:val="auto"/>
          <w:kern w:val="2"/>
          <w:szCs w:val="21"/>
          <w:highlight w:val="none"/>
        </w:rPr>
        <w:t>合同、社保缴费证明</w:t>
      </w:r>
      <w:r>
        <w:rPr>
          <w:rFonts w:hint="eastAsia" w:ascii="宋体" w:hAnsi="宋体" w:cs="宋体"/>
          <w:color w:val="auto"/>
          <w:kern w:val="2"/>
          <w:szCs w:val="21"/>
          <w:highlight w:val="none"/>
        </w:rPr>
        <w:t>等，供应商在投标响应时据实列出清单</w:t>
      </w:r>
      <w:r>
        <w:rPr>
          <w:rFonts w:hint="eastAsia" w:ascii="宋体" w:hAnsi="宋体" w:cs="宋体"/>
          <w:b/>
          <w:bCs/>
          <w:color w:val="auto"/>
          <w:kern w:val="2"/>
          <w:szCs w:val="21"/>
          <w:highlight w:val="none"/>
        </w:rPr>
        <w:t>并提供相关佐证</w:t>
      </w:r>
      <w:r>
        <w:rPr>
          <w:rFonts w:hint="eastAsia" w:ascii="宋体" w:hAnsi="宋体" w:cs="宋体"/>
          <w:color w:val="auto"/>
          <w:kern w:val="2"/>
          <w:szCs w:val="21"/>
          <w:highlight w:val="none"/>
          <w:lang w:eastAsia="zh-CN"/>
        </w:rPr>
        <w:t>。</w:t>
      </w:r>
    </w:p>
    <w:p w14:paraId="471E0B0A">
      <w:pPr>
        <w:rPr>
          <w:rFonts w:hint="eastAsia" w:ascii="黑体" w:hAnsi="黑体" w:eastAsia="黑体" w:cs="Times New Roman"/>
          <w:iCs/>
          <w:color w:val="auto"/>
          <w:sz w:val="32"/>
          <w:szCs w:val="32"/>
          <w:highlight w:val="none"/>
          <w:u w:val="single"/>
          <w:lang w:val="en-US" w:eastAsia="zh-CN"/>
        </w:rPr>
      </w:pPr>
      <w:bookmarkStart w:id="273" w:name="_GoBack"/>
      <w:bookmarkEnd w:id="273"/>
    </w:p>
    <w:p w14:paraId="43FA042C">
      <w:pPr>
        <w:numPr>
          <w:ilvl w:val="0"/>
          <w:numId w:val="0"/>
        </w:numPr>
        <w:jc w:val="center"/>
        <w:rPr>
          <w:rFonts w:hint="eastAsia" w:ascii="黑体" w:hAnsi="黑体" w:eastAsia="黑体" w:cs="Times New Roman"/>
          <w:iCs/>
          <w:color w:val="auto"/>
          <w:sz w:val="32"/>
          <w:szCs w:val="32"/>
          <w:highlight w:val="none"/>
          <w:u w:val="single"/>
          <w:lang w:val="en-US" w:eastAsia="zh-CN"/>
        </w:rPr>
      </w:pPr>
    </w:p>
    <w:p w14:paraId="491B323A">
      <w:pPr>
        <w:numPr>
          <w:ilvl w:val="0"/>
          <w:numId w:val="0"/>
        </w:numPr>
        <w:jc w:val="center"/>
        <w:rPr>
          <w:rFonts w:hint="eastAsia" w:ascii="黑体" w:hAnsi="黑体" w:eastAsia="黑体" w:cs="Times New Roman"/>
          <w:iCs/>
          <w:color w:val="auto"/>
          <w:sz w:val="32"/>
          <w:szCs w:val="32"/>
          <w:highlight w:val="none"/>
          <w:u w:val="single"/>
          <w:lang w:val="en-US" w:eastAsia="zh-CN"/>
        </w:rPr>
      </w:pPr>
    </w:p>
    <w:p w14:paraId="136F8189">
      <w:pP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br w:type="page"/>
      </w:r>
    </w:p>
    <w:p w14:paraId="1E6D8FE9">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十九、投标所需其他材料</w:t>
      </w:r>
    </w:p>
    <w:p w14:paraId="6A45A83A">
      <w:pPr>
        <w:numPr>
          <w:ilvl w:val="0"/>
          <w:numId w:val="0"/>
        </w:numPr>
        <w:jc w:val="center"/>
        <w:rPr>
          <w:rFonts w:hint="default" w:ascii="黑体" w:hAnsi="黑体" w:eastAsia="黑体" w:cs="Times New Roman"/>
          <w:iCs/>
          <w:color w:val="auto"/>
          <w:sz w:val="32"/>
          <w:szCs w:val="32"/>
          <w:highlight w:val="none"/>
          <w:u w:val="single"/>
          <w:lang w:val="en-US" w:eastAsia="zh-CN"/>
        </w:rPr>
      </w:pPr>
    </w:p>
    <w:p w14:paraId="55D8199E">
      <w:pPr>
        <w:ind w:firstLine="480"/>
        <w:rPr>
          <w:rFonts w:hint="eastAsia" w:ascii="宋体" w:hAnsi="宋体"/>
          <w:color w:val="auto"/>
          <w:sz w:val="24"/>
          <w:szCs w:val="24"/>
          <w:highlight w:val="none"/>
        </w:rPr>
      </w:pPr>
    </w:p>
    <w:p w14:paraId="7DBDF88A">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质疑函范本</w:t>
      </w:r>
    </w:p>
    <w:p w14:paraId="5301F514">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37A726DC">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370527C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619823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60BBE2F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4FC6241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507EA55">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0E323D87">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418183C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47BAE692">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15181E3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10CDB93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7C83F410">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4DA5D06B">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3CCF305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23D050B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0D97F389">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06943708">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12A6112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0DAFF57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2D6F2F69">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4FAEF57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6334ED6F">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1EEE7C61">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521A5C49">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55A19220">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76F3C4E5">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7DF2941B">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0D4FB5F2">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44E68417">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199850A0">
      <w:pPr>
        <w:widowControl/>
        <w:spacing w:line="500" w:lineRule="exact"/>
        <w:ind w:firstLine="480"/>
        <w:jc w:val="left"/>
        <w:rPr>
          <w:color w:val="auto"/>
          <w:sz w:val="24"/>
          <w:szCs w:val="24"/>
          <w:highlight w:val="none"/>
        </w:rPr>
      </w:pPr>
      <w:r>
        <w:rPr>
          <w:rFonts w:hint="eastAsia" w:ascii="宋体" w:hAnsi="宋体"/>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5D8ECCF7">
      <w:pPr>
        <w:widowControl/>
        <w:spacing w:line="400" w:lineRule="exact"/>
        <w:ind w:firstLine="480"/>
        <w:jc w:val="left"/>
        <w:rPr>
          <w:rFonts w:ascii="宋体" w:hAnsi="宋体"/>
          <w:color w:val="auto"/>
          <w:sz w:val="24"/>
          <w:szCs w:val="24"/>
          <w:highlight w:val="none"/>
        </w:rPr>
      </w:pPr>
    </w:p>
    <w:p w14:paraId="52CE6B2C">
      <w:pPr>
        <w:pStyle w:val="188"/>
        <w:rPr>
          <w:rFonts w:hint="eastAsia"/>
          <w:color w:val="auto"/>
          <w:sz w:val="24"/>
          <w:szCs w:val="24"/>
          <w:highlight w:val="none"/>
        </w:rPr>
      </w:pPr>
    </w:p>
    <w:p w14:paraId="5AD78606">
      <w:pPr>
        <w:pStyle w:val="188"/>
        <w:rPr>
          <w:color w:val="auto"/>
          <w:sz w:val="24"/>
          <w:szCs w:val="24"/>
          <w:highlight w:val="none"/>
        </w:rPr>
      </w:pPr>
    </w:p>
    <w:sectPr>
      <w:footerReference r:id="rId11" w:type="first"/>
      <w:footerReference r:id="rId10"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A442F">
    <w:pPr>
      <w:pStyle w:val="231"/>
      <w:framePr w:wrap="around" w:vAnchor="text" w:hAnchor="margin" w:xAlign="center" w:y="1"/>
      <w:rPr>
        <w:rStyle w:val="257"/>
        <w:rFonts w:hint="eastAsia" w:ascii="宋体" w:hAnsi="宋体" w:cs="宋体"/>
      </w:rPr>
    </w:pPr>
    <w:r>
      <w:rPr>
        <w:rFonts w:hint="eastAsia" w:ascii="宋体" w:hAnsi="宋体" w:cs="宋体"/>
      </w:rPr>
      <w:fldChar w:fldCharType="begin"/>
    </w:r>
    <w:r>
      <w:rPr>
        <w:rStyle w:val="257"/>
        <w:rFonts w:hint="eastAsia" w:ascii="宋体" w:hAnsi="宋体" w:cs="宋体"/>
      </w:rPr>
      <w:instrText xml:space="preserve">PAGE  </w:instrText>
    </w:r>
    <w:r>
      <w:rPr>
        <w:rFonts w:hint="eastAsia" w:ascii="宋体" w:hAnsi="宋体" w:cs="宋体"/>
      </w:rPr>
      <w:fldChar w:fldCharType="separate"/>
    </w:r>
    <w:r>
      <w:rPr>
        <w:rStyle w:val="257"/>
        <w:rFonts w:hint="eastAsia" w:ascii="宋体" w:hAnsi="宋体" w:cs="宋体"/>
      </w:rPr>
      <w:t>３５</w:t>
    </w:r>
    <w:r>
      <w:rPr>
        <w:rFonts w:hint="eastAsia" w:ascii="宋体" w:hAnsi="宋体" w:cs="宋体"/>
      </w:rPr>
      <w:fldChar w:fldCharType="end"/>
    </w:r>
  </w:p>
  <w:p w14:paraId="7C86E58D">
    <w:pPr>
      <w:pStyle w:val="231"/>
      <w:jc w:val="center"/>
      <w:rPr>
        <w:rFonts w:hint="eastAsia"/>
        <w:b/>
        <w:i/>
      </w:rPr>
    </w:pPr>
    <w:r>
      <w:rPr>
        <w:b/>
        <w:i/>
        <w:sz w:val="20"/>
      </w:rPr>
      <w:t xml:space="preserve"> </w:t>
    </w:r>
    <w:r>
      <w:rPr>
        <w:rFonts w:hint="eastAsia"/>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A5640">
    <w:pPr>
      <w:pStyle w:val="231"/>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22329713">
    <w:pPr>
      <w:pStyle w:val="2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96327">
    <w:pPr>
      <w:pStyle w:val="231"/>
      <w:jc w:val="center"/>
      <w:rPr>
        <w:rFonts w:hint="eastAsia"/>
        <w:b/>
        <w:i/>
      </w:rPr>
    </w:pPr>
    <w:r>
      <w:rPr>
        <w:b/>
        <w:i/>
        <w:sz w:val="20"/>
      </w:rPr>
      <w:t xml:space="preserve"> </w:t>
    </w:r>
    <w:r>
      <w:rPr>
        <w:rFonts w:hint="eastAsia"/>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0EFFB">
    <w:pPr>
      <w:pStyle w:val="2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3F848">
    <w:pPr>
      <w:pStyle w:val="231"/>
      <w:framePr w:wrap="around" w:vAnchor="text" w:hAnchor="margin" w:xAlign="center" w:y="1"/>
      <w:rPr>
        <w:rStyle w:val="257"/>
        <w:rFonts w:hint="eastAsia" w:ascii="宋体" w:hAnsi="宋体" w:cs="宋体"/>
      </w:rPr>
    </w:pPr>
    <w:r>
      <w:rPr>
        <w:rFonts w:hint="eastAsia" w:ascii="宋体" w:hAnsi="宋体" w:cs="宋体"/>
      </w:rPr>
      <w:fldChar w:fldCharType="begin"/>
    </w:r>
    <w:r>
      <w:rPr>
        <w:rStyle w:val="257"/>
        <w:rFonts w:hint="eastAsia" w:ascii="宋体" w:hAnsi="宋体" w:cs="宋体"/>
      </w:rPr>
      <w:instrText xml:space="preserve">PAGE  </w:instrText>
    </w:r>
    <w:r>
      <w:rPr>
        <w:rFonts w:hint="eastAsia" w:ascii="宋体" w:hAnsi="宋体" w:cs="宋体"/>
      </w:rPr>
      <w:fldChar w:fldCharType="separate"/>
    </w:r>
    <w:r>
      <w:rPr>
        <w:rStyle w:val="257"/>
        <w:rFonts w:hint="eastAsia" w:ascii="宋体" w:hAnsi="宋体" w:cs="宋体"/>
      </w:rPr>
      <w:t>３３</w:t>
    </w:r>
    <w:r>
      <w:rPr>
        <w:rFonts w:hint="eastAsia" w:ascii="宋体" w:hAnsi="宋体" w:cs="宋体"/>
      </w:rPr>
      <w:fldChar w:fldCharType="end"/>
    </w:r>
  </w:p>
  <w:p w14:paraId="25B0C8DF">
    <w:pPr>
      <w:pStyle w:val="231"/>
      <w:jc w:val="center"/>
      <w:rPr>
        <w:rFonts w:hint="eastAsia"/>
        <w:b/>
        <w:i/>
      </w:rPr>
    </w:pPr>
    <w:r>
      <w:rPr>
        <w:b/>
        <w:i/>
        <w:sz w:val="20"/>
      </w:rPr>
      <w:t xml:space="preserve"> </w:t>
    </w:r>
    <w:r>
      <w:rPr>
        <w:rFonts w:hint="eastAsia"/>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6319F">
    <w:pPr>
      <w:pStyle w:val="2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62411">
    <w:pPr>
      <w:pStyle w:val="233"/>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9B246">
    <w:pPr>
      <w:pStyle w:val="2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21FEB">
    <w:pPr>
      <w:pStyle w:val="233"/>
      <w:pBdr>
        <w:top w:val="none" w:color="000000" w:sz="0" w:space="0"/>
        <w:left w:val="none" w:color="000000" w:sz="0" w:space="0"/>
        <w:bottom w:val="none" w:color="000000" w:sz="0" w:space="1"/>
        <w:right w:val="none" w:color="000000" w:sz="0" w:space="0"/>
        <w:between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CF092B84"/>
    <w:multiLevelType w:val="multilevel"/>
    <w:tmpl w:val="CF092B84"/>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264"/>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3">
    <w:nsid w:val="03B8B6EF"/>
    <w:multiLevelType w:val="singleLevel"/>
    <w:tmpl w:val="03B8B6EF"/>
    <w:lvl w:ilvl="0" w:tentative="0">
      <w:start w:val="18"/>
      <w:numFmt w:val="chineseCounting"/>
      <w:suff w:val="nothing"/>
      <w:lvlText w:val="%1、"/>
      <w:lvlJc w:val="left"/>
      <w:rPr>
        <w:rFonts w:hint="eastAsia"/>
      </w:rPr>
    </w:lvl>
  </w:abstractNum>
  <w:abstractNum w:abstractNumId="4">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upperLetter"/>
      <w:pStyle w:val="27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5D71"/>
    <w:rsid w:val="01A52705"/>
    <w:rsid w:val="01D86637"/>
    <w:rsid w:val="02C1531D"/>
    <w:rsid w:val="049748D7"/>
    <w:rsid w:val="04993FFA"/>
    <w:rsid w:val="04AF7B6F"/>
    <w:rsid w:val="04CD61FB"/>
    <w:rsid w:val="059B00A7"/>
    <w:rsid w:val="07BD6D6B"/>
    <w:rsid w:val="0A070348"/>
    <w:rsid w:val="0AAF050F"/>
    <w:rsid w:val="0AFD2C6A"/>
    <w:rsid w:val="0BCB2F01"/>
    <w:rsid w:val="0C801DA5"/>
    <w:rsid w:val="0E1148FB"/>
    <w:rsid w:val="0E2845BB"/>
    <w:rsid w:val="102C28C4"/>
    <w:rsid w:val="1031306E"/>
    <w:rsid w:val="12005CD8"/>
    <w:rsid w:val="14406710"/>
    <w:rsid w:val="14CB3DD9"/>
    <w:rsid w:val="15C353D9"/>
    <w:rsid w:val="190C0F21"/>
    <w:rsid w:val="1CC07ED6"/>
    <w:rsid w:val="1FE20705"/>
    <w:rsid w:val="206D3F96"/>
    <w:rsid w:val="22AE623C"/>
    <w:rsid w:val="2342795C"/>
    <w:rsid w:val="23D12A2F"/>
    <w:rsid w:val="24A424E2"/>
    <w:rsid w:val="26A338B2"/>
    <w:rsid w:val="279664C8"/>
    <w:rsid w:val="27CB2288"/>
    <w:rsid w:val="291C5438"/>
    <w:rsid w:val="2AA54BB3"/>
    <w:rsid w:val="2C7C7C88"/>
    <w:rsid w:val="2D2F180E"/>
    <w:rsid w:val="2D7C4D87"/>
    <w:rsid w:val="3146132F"/>
    <w:rsid w:val="32B02B9E"/>
    <w:rsid w:val="34D93BF8"/>
    <w:rsid w:val="35D84FC5"/>
    <w:rsid w:val="39430C4F"/>
    <w:rsid w:val="3C1D7144"/>
    <w:rsid w:val="3FBC1618"/>
    <w:rsid w:val="40B97F4E"/>
    <w:rsid w:val="41F647A7"/>
    <w:rsid w:val="42152CF6"/>
    <w:rsid w:val="439713C6"/>
    <w:rsid w:val="44093E52"/>
    <w:rsid w:val="440F51E1"/>
    <w:rsid w:val="4433236C"/>
    <w:rsid w:val="44D11CED"/>
    <w:rsid w:val="46727957"/>
    <w:rsid w:val="478F0B12"/>
    <w:rsid w:val="481E3AAF"/>
    <w:rsid w:val="484C65AB"/>
    <w:rsid w:val="49B22896"/>
    <w:rsid w:val="4B2046ED"/>
    <w:rsid w:val="4BA47922"/>
    <w:rsid w:val="4C2F6420"/>
    <w:rsid w:val="4D5E6DD5"/>
    <w:rsid w:val="4D7F5F41"/>
    <w:rsid w:val="516C3942"/>
    <w:rsid w:val="51ED4DB3"/>
    <w:rsid w:val="51F6353C"/>
    <w:rsid w:val="52F83A10"/>
    <w:rsid w:val="543C556A"/>
    <w:rsid w:val="54E33439"/>
    <w:rsid w:val="57C93BCD"/>
    <w:rsid w:val="588F1ABD"/>
    <w:rsid w:val="5D752650"/>
    <w:rsid w:val="5E8048B9"/>
    <w:rsid w:val="5FF762CA"/>
    <w:rsid w:val="605D3104"/>
    <w:rsid w:val="606E57EA"/>
    <w:rsid w:val="6217423C"/>
    <w:rsid w:val="6221374E"/>
    <w:rsid w:val="62285994"/>
    <w:rsid w:val="6477675E"/>
    <w:rsid w:val="66B75069"/>
    <w:rsid w:val="670843C9"/>
    <w:rsid w:val="67AE2497"/>
    <w:rsid w:val="67F651A5"/>
    <w:rsid w:val="694E3F32"/>
    <w:rsid w:val="69567DF5"/>
    <w:rsid w:val="69AB0E78"/>
    <w:rsid w:val="6A170D32"/>
    <w:rsid w:val="6AD37D33"/>
    <w:rsid w:val="6B3B6738"/>
    <w:rsid w:val="6B902BDF"/>
    <w:rsid w:val="6BF253C0"/>
    <w:rsid w:val="6F5953DE"/>
    <w:rsid w:val="704125F4"/>
    <w:rsid w:val="707F22A3"/>
    <w:rsid w:val="743A7540"/>
    <w:rsid w:val="768A2321"/>
    <w:rsid w:val="7702744C"/>
    <w:rsid w:val="77C67389"/>
    <w:rsid w:val="78F71F52"/>
    <w:rsid w:val="7B3311D9"/>
    <w:rsid w:val="7CDC5B66"/>
    <w:rsid w:val="7CE502B1"/>
    <w:rsid w:val="7D5C5AD9"/>
    <w:rsid w:val="7F74591C"/>
    <w:rsid w:val="7FB80F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7"/>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ascii="Times New Roman" w:hAnsi="Times New Roman" w:eastAsia="宋体" w:cs="Times New Roman"/>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0"/>
    <w:pPr>
      <w:adjustRightInd w:val="0"/>
      <w:spacing w:after="60" w:line="360" w:lineRule="atLeast"/>
      <w:ind w:left="72" w:leftChars="30" w:right="30" w:rightChars="30"/>
      <w:jc w:val="center"/>
      <w:textAlignment w:val="baseline"/>
    </w:pPr>
  </w:style>
  <w:style w:type="paragraph" w:styleId="15">
    <w:name w:val="Body Text First Indent"/>
    <w:basedOn w:val="14"/>
    <w:qFormat/>
    <w:uiPriority w:val="0"/>
    <w:pPr>
      <w:ind w:firstLine="420" w:firstLineChars="100"/>
    </w:pPr>
    <w:rPr>
      <w:sz w:val="28"/>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3"/>
    <w:semiHidden/>
    <w:unhideWhenUsed/>
    <w:qFormat/>
    <w:uiPriority w:val="99"/>
    <w:pPr>
      <w:spacing w:after="0" w:line="240" w:lineRule="auto"/>
    </w:pPr>
    <w:rPr>
      <w:sz w:val="20"/>
    </w:rPr>
  </w:style>
  <w:style w:type="paragraph" w:styleId="20">
    <w:name w:val="footer"/>
    <w:basedOn w:val="1"/>
    <w:link w:val="56"/>
    <w:unhideWhenUsed/>
    <w:qFormat/>
    <w:uiPriority w:val="99"/>
    <w:pPr>
      <w:tabs>
        <w:tab w:val="center" w:pos="7143"/>
        <w:tab w:val="right" w:pos="14287"/>
      </w:tabs>
      <w:spacing w:after="0" w:line="240" w:lineRule="auto"/>
    </w:pPr>
  </w:style>
  <w:style w:type="paragraph" w:styleId="21">
    <w:name w:val="header"/>
    <w:basedOn w:val="1"/>
    <w:link w:val="54"/>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9"/>
    <w:qFormat/>
    <w:uiPriority w:val="11"/>
    <w:pPr>
      <w:spacing w:before="200" w:after="200"/>
    </w:pPr>
    <w:rPr>
      <w:sz w:val="24"/>
      <w:szCs w:val="24"/>
    </w:rPr>
  </w:style>
  <w:style w:type="paragraph" w:styleId="25">
    <w:name w:val="footnote text"/>
    <w:basedOn w:val="1"/>
    <w:link w:val="182"/>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4"/>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1"/>
    <w:qFormat/>
    <w:uiPriority w:val="99"/>
  </w:style>
  <w:style w:type="character" w:customStyle="1" w:styleId="55">
    <w:name w:val="Footer Char"/>
    <w:link w:val="20"/>
    <w:qFormat/>
    <w:uiPriority w:val="99"/>
  </w:style>
  <w:style w:type="character" w:customStyle="1" w:styleId="56">
    <w:name w:val="Caption Char"/>
    <w:link w:val="20"/>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19"/>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
    <w:link w:val="198"/>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标题 31"/>
    <w:basedOn w:val="1"/>
    <w:next w:val="188"/>
    <w:link w:val="199"/>
    <w:qFormat/>
    <w:uiPriority w:val="0"/>
    <w:pPr>
      <w:keepNext/>
      <w:keepLines/>
      <w:spacing w:before="260" w:after="260" w:line="416" w:lineRule="auto"/>
      <w:outlineLvl w:val="2"/>
    </w:pPr>
    <w:rPr>
      <w:b/>
      <w:bCs/>
      <w:sz w:val="32"/>
      <w:szCs w:val="32"/>
    </w:rPr>
  </w:style>
  <w:style w:type="paragraph" w:customStyle="1" w:styleId="188">
    <w:name w:val="正文缩进1"/>
    <w:basedOn w:val="1"/>
    <w:link w:val="200"/>
    <w:qFormat/>
    <w:uiPriority w:val="0"/>
    <w:pPr>
      <w:ind w:firstLine="420"/>
    </w:pPr>
    <w:rPr>
      <w:sz w:val="20"/>
    </w:rPr>
  </w:style>
  <w:style w:type="paragraph" w:customStyle="1" w:styleId="189">
    <w:name w:val="标题 41"/>
    <w:basedOn w:val="1"/>
    <w:next w:val="188"/>
    <w:link w:val="201"/>
    <w:qFormat/>
    <w:uiPriority w:val="0"/>
    <w:pPr>
      <w:keepNext/>
      <w:keepLines/>
      <w:spacing w:before="280" w:after="290" w:line="376" w:lineRule="auto"/>
      <w:outlineLvl w:val="3"/>
    </w:pPr>
    <w:rPr>
      <w:rFonts w:ascii="Arial" w:hAnsi="Arial" w:eastAsia="黑体"/>
      <w:b/>
      <w:bCs/>
      <w:sz w:val="28"/>
      <w:szCs w:val="28"/>
    </w:rPr>
  </w:style>
  <w:style w:type="paragraph" w:customStyle="1" w:styleId="190">
    <w:name w:val="标题 51"/>
    <w:basedOn w:val="1"/>
    <w:next w:val="188"/>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正文缩进 Char"/>
    <w:link w:val="188"/>
    <w:qFormat/>
    <w:uiPriority w:val="0"/>
    <w:rPr>
      <w:rFonts w:ascii="Times New Roman" w:hAnsi="Times New Roman" w:eastAsia="宋体" w:cs="Times New Roman"/>
      <w:szCs w:val="21"/>
    </w:rPr>
  </w:style>
  <w:style w:type="character" w:customStyle="1" w:styleId="201">
    <w:name w:val="标题 4 Char"/>
    <w:link w:val="189"/>
    <w:qFormat/>
    <w:uiPriority w:val="0"/>
    <w:rPr>
      <w:rFonts w:ascii="Arial" w:hAnsi="Arial" w:eastAsia="黑体" w:cs="Arial"/>
      <w:b/>
      <w:bCs/>
      <w:sz w:val="28"/>
      <w:szCs w:val="28"/>
    </w:rPr>
  </w:style>
  <w:style w:type="character" w:customStyle="1" w:styleId="202">
    <w:name w:val="标题 5 Char"/>
    <w:link w:val="190"/>
    <w:qFormat/>
    <w:uiPriority w:val="0"/>
    <w:rPr>
      <w:rFonts w:ascii="宋体" w:hAnsi="Times New Roman" w:eastAsia="宋体" w:cs="Times New Roman"/>
      <w:color w:val="000000"/>
      <w:sz w:val="28"/>
      <w:szCs w:val="28"/>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rPr>
      <w:sz w:val="20"/>
    </w:r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rPr>
      <w:sz w:val="20"/>
    </w:r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
    <w:basedOn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1"/>
    <w:basedOn w:val="1"/>
    <w:link w:val="223"/>
    <w:qFormat/>
    <w:uiPriority w:val="0"/>
    <w:rPr>
      <w:rFonts w:ascii="宋体" w:hAnsi="Courier New"/>
      <w:sz w:val="20"/>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sz w:val="32"/>
      <w:szCs w:val="32"/>
    </w:rPr>
  </w:style>
  <w:style w:type="character" w:customStyle="1" w:styleId="228">
    <w:name w:val="正文文本缩进 2 Char"/>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sz w:val="18"/>
      <w:szCs w:val="18"/>
    </w:rPr>
  </w:style>
  <w:style w:type="character" w:customStyle="1" w:styleId="230">
    <w:name w:val="批注框文本 Char"/>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sz w:val="18"/>
      <w:szCs w:val="18"/>
    </w:rPr>
  </w:style>
  <w:style w:type="character" w:customStyle="1" w:styleId="232">
    <w:name w:val="页脚 Char"/>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sz w:val="18"/>
      <w:szCs w:val="18"/>
    </w:rPr>
  </w:style>
  <w:style w:type="character" w:customStyle="1" w:styleId="234">
    <w:name w:val="页眉 Char"/>
    <w:link w:val="233"/>
    <w:qFormat/>
    <w:uiPriority w:val="0"/>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列表1"/>
    <w:basedOn w:val="1"/>
    <w:qFormat/>
    <w:uiPriority w:val="0"/>
    <w:pPr>
      <w:ind w:left="200" w:hanging="200"/>
    </w:pPr>
  </w:style>
  <w:style w:type="paragraph" w:customStyle="1" w:styleId="238">
    <w:name w:val="目录 61"/>
    <w:basedOn w:val="1"/>
    <w:next w:val="1"/>
    <w:semiHidden/>
    <w:qFormat/>
    <w:uiPriority w:val="0"/>
    <w:pPr>
      <w:ind w:left="1050"/>
      <w:jc w:val="left"/>
    </w:pPr>
  </w:style>
  <w:style w:type="paragraph" w:customStyle="1" w:styleId="239">
    <w:name w:val="正文文本缩进 31"/>
    <w:basedOn w:val="1"/>
    <w:link w:val="240"/>
    <w:qFormat/>
    <w:uiPriority w:val="0"/>
    <w:pPr>
      <w:ind w:left="645" w:firstLine="645"/>
    </w:pPr>
    <w:rPr>
      <w:rFonts w:ascii="Arial" w:hAnsi="Arial" w:eastAsia="仿宋_GB2312"/>
      <w:color w:val="FFFF00"/>
      <w:sz w:val="32"/>
      <w:szCs w:val="32"/>
    </w:rPr>
  </w:style>
  <w:style w:type="character" w:customStyle="1" w:styleId="240">
    <w:name w:val="正文文本缩进 3 Char"/>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style>
  <w:style w:type="paragraph" w:customStyle="1" w:styleId="242">
    <w:name w:val="目录 21"/>
    <w:basedOn w:val="1"/>
    <w:next w:val="1"/>
    <w:semiHidden/>
    <w:qFormat/>
    <w:uiPriority w:val="0"/>
    <w:pPr>
      <w:ind w:left="210"/>
      <w:jc w:val="left"/>
    </w:pPr>
    <w:rPr>
      <w:smallCaps/>
      <w:szCs w:val="24"/>
    </w:rPr>
  </w:style>
  <w:style w:type="paragraph" w:customStyle="1" w:styleId="243">
    <w:name w:val="目录 91"/>
    <w:basedOn w:val="1"/>
    <w:next w:val="1"/>
    <w:semiHidden/>
    <w:qFormat/>
    <w:uiPriority w:val="0"/>
    <w:pPr>
      <w:ind w:left="1680"/>
      <w:jc w:val="left"/>
    </w:pPr>
  </w:style>
  <w:style w:type="paragraph" w:customStyle="1" w:styleId="244">
    <w:name w:val="正文文本 21"/>
    <w:basedOn w:val="1"/>
    <w:link w:val="245"/>
    <w:qFormat/>
    <w:uiPriority w:val="0"/>
    <w:pPr>
      <w:widowControl/>
      <w:jc w:val="center"/>
    </w:pPr>
    <w:rPr>
      <w:rFonts w:ascii="楷体_GB2312" w:eastAsia="楷体_GB2312"/>
      <w:sz w:val="28"/>
      <w:szCs w:val="28"/>
    </w:rPr>
  </w:style>
  <w:style w:type="character" w:customStyle="1" w:styleId="245">
    <w:name w:val="正文文本 2 Char"/>
    <w:link w:val="244"/>
    <w:qFormat/>
    <w:uiPriority w:val="0"/>
    <w:rPr>
      <w:rFonts w:ascii="楷体_GB2312" w:hAnsi="Times New Roman" w:eastAsia="楷体_GB2312" w:cs="Times New Roman"/>
      <w:sz w:val="28"/>
      <w:szCs w:val="28"/>
    </w:rPr>
  </w:style>
  <w:style w:type="paragraph" w:customStyle="1" w:styleId="24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rPr>
  </w:style>
  <w:style w:type="paragraph" w:customStyle="1" w:styleId="24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8">
    <w:name w:val="索引 11"/>
    <w:basedOn w:val="1"/>
    <w:next w:val="1"/>
    <w:semiHidden/>
    <w:qFormat/>
    <w:uiPriority w:val="0"/>
    <w:pPr>
      <w:spacing w:line="240" w:lineRule="atLeast"/>
    </w:pPr>
    <w:rPr>
      <w:b/>
      <w:bCs/>
    </w:rPr>
  </w:style>
  <w:style w:type="paragraph" w:customStyle="1" w:styleId="249">
    <w:name w:val="批注主题1"/>
    <w:basedOn w:val="211"/>
    <w:next w:val="211"/>
    <w:link w:val="250"/>
    <w:semiHidden/>
    <w:qFormat/>
    <w:uiPriority w:val="0"/>
    <w:rPr>
      <w:b/>
      <w:bCs/>
      <w:sz w:val="20"/>
    </w:rPr>
  </w:style>
  <w:style w:type="character" w:customStyle="1" w:styleId="250">
    <w:name w:val="批注主题 Char"/>
    <w:link w:val="249"/>
    <w:semiHidden/>
    <w:qFormat/>
    <w:uiPriority w:val="0"/>
    <w:rPr>
      <w:rFonts w:ascii="Times New Roman" w:hAnsi="Times New Roman" w:eastAsia="宋体" w:cs="Times New Roman"/>
      <w:b/>
      <w:bCs/>
      <w:szCs w:val="21"/>
    </w:rPr>
  </w:style>
  <w:style w:type="paragraph" w:customStyle="1" w:styleId="251">
    <w:name w:val="正文首行缩进1"/>
    <w:basedOn w:val="1"/>
    <w:link w:val="252"/>
    <w:qFormat/>
    <w:uiPriority w:val="0"/>
    <w:pPr>
      <w:spacing w:line="360" w:lineRule="auto"/>
      <w:ind w:firstLine="200"/>
    </w:pPr>
    <w:rPr>
      <w:rFonts w:ascii="仿宋_GB2312" w:eastAsia="仿宋_GB2312"/>
      <w:sz w:val="30"/>
      <w:szCs w:val="30"/>
    </w:rPr>
  </w:style>
  <w:style w:type="character" w:customStyle="1" w:styleId="252">
    <w:name w:val="正文首行缩进 Char"/>
    <w:link w:val="251"/>
    <w:qFormat/>
    <w:uiPriority w:val="0"/>
    <w:rPr>
      <w:rFonts w:ascii="仿宋_GB2312" w:hAnsi="Times New Roman" w:eastAsia="仿宋_GB2312" w:cs="Times New Roman"/>
      <w:sz w:val="30"/>
      <w:szCs w:val="30"/>
    </w:rPr>
  </w:style>
  <w:style w:type="paragraph" w:customStyle="1" w:styleId="253">
    <w:name w:val="正文首行缩进 21"/>
    <w:basedOn w:val="217"/>
    <w:link w:val="254"/>
    <w:qFormat/>
    <w:uiPriority w:val="0"/>
    <w:pPr>
      <w:spacing w:line="360" w:lineRule="auto"/>
      <w:ind w:firstLine="420"/>
    </w:pPr>
    <w:rPr>
      <w:rFonts w:ascii="宋体" w:hAnsi="宋体" w:eastAsia="宋体"/>
      <w:szCs w:val="20"/>
    </w:rPr>
  </w:style>
  <w:style w:type="character" w:customStyle="1" w:styleId="254">
    <w:name w:val="正文首行缩进 2 Char"/>
    <w:link w:val="253"/>
    <w:qFormat/>
    <w:uiPriority w:val="0"/>
    <w:rPr>
      <w:rFonts w:ascii="宋体" w:hAnsi="宋体" w:eastAsia="宋体" w:cs="Times New Roman"/>
      <w:sz w:val="32"/>
      <w:szCs w:val="20"/>
    </w:rPr>
  </w:style>
  <w:style w:type="table" w:customStyle="1" w:styleId="255">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56">
    <w:name w:val="要点1"/>
    <w:link w:val="1"/>
    <w:qFormat/>
    <w:uiPriority w:val="0"/>
    <w:rPr>
      <w:b/>
      <w:bCs/>
    </w:rPr>
  </w:style>
  <w:style w:type="character" w:customStyle="1" w:styleId="257">
    <w:name w:val="页码1"/>
    <w:link w:val="1"/>
    <w:qFormat/>
    <w:uiPriority w:val="0"/>
  </w:style>
  <w:style w:type="character" w:customStyle="1" w:styleId="258">
    <w:name w:val="已访问的超链接1"/>
    <w:link w:val="1"/>
    <w:qFormat/>
    <w:uiPriority w:val="0"/>
    <w:rPr>
      <w:color w:val="800080"/>
      <w:u w:val="single"/>
    </w:rPr>
  </w:style>
  <w:style w:type="character" w:customStyle="1" w:styleId="259">
    <w:name w:val="强调1"/>
    <w:basedOn w:val="195"/>
    <w:link w:val="1"/>
    <w:qFormat/>
    <w:uiPriority w:val="20"/>
    <w:rPr>
      <w:i/>
    </w:rPr>
  </w:style>
  <w:style w:type="character" w:customStyle="1" w:styleId="260">
    <w:name w:val="超链接1"/>
    <w:link w:val="1"/>
    <w:qFormat/>
    <w:uiPriority w:val="0"/>
    <w:rPr>
      <w:color w:val="0000FF"/>
      <w:u w:val="single"/>
    </w:rPr>
  </w:style>
  <w:style w:type="character" w:customStyle="1" w:styleId="261">
    <w:name w:val="批注引用11"/>
    <w:link w:val="1"/>
    <w:semiHidden/>
    <w:qFormat/>
    <w:uiPriority w:val="0"/>
    <w:rPr>
      <w:sz w:val="21"/>
      <w:szCs w:val="21"/>
    </w:rPr>
  </w:style>
  <w:style w:type="paragraph" w:customStyle="1" w:styleId="262">
    <w:name w:val="Default"/>
    <w:qFormat/>
    <w:uiPriority w:val="0"/>
    <w:pPr>
      <w:widowControl w:val="0"/>
    </w:pPr>
    <w:rPr>
      <w:rFonts w:hint="default" w:ascii="MS Mincho" w:hAnsi="Calibri" w:eastAsia="宋体" w:cs="Times New Roman"/>
      <w:color w:val="000000"/>
      <w:sz w:val="21"/>
      <w:szCs w:val="24"/>
      <w:lang w:val="en-US" w:eastAsia="zh-CN" w:bidi="ar-SA"/>
    </w:rPr>
  </w:style>
  <w:style w:type="character" w:customStyle="1" w:styleId="263">
    <w:name w:val="批注引用1"/>
    <w:link w:val="1"/>
    <w:semiHidden/>
    <w:qFormat/>
    <w:uiPriority w:val="0"/>
    <w:rPr>
      <w:sz w:val="21"/>
      <w:szCs w:val="21"/>
      <w:lang w:val="en-US" w:eastAsia="zh-CN" w:bidi="ar-SA"/>
    </w:rPr>
  </w:style>
  <w:style w:type="paragraph" w:customStyle="1" w:styleId="264">
    <w:name w:val="标题 5（有编号）（绿盟科技）"/>
    <w:basedOn w:val="1"/>
    <w:next w:val="265"/>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265">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66">
    <w:name w:val="二级目录 Char"/>
    <w:link w:val="267"/>
    <w:qFormat/>
    <w:uiPriority w:val="0"/>
    <w:rPr>
      <w:b/>
      <w:sz w:val="30"/>
      <w:szCs w:val="28"/>
      <w:lang w:val="en-US" w:eastAsia="zh-CN" w:bidi="ar-SA"/>
    </w:rPr>
  </w:style>
  <w:style w:type="paragraph" w:customStyle="1" w:styleId="267">
    <w:name w:val="二级目录"/>
    <w:next w:val="1"/>
    <w:link w:val="266"/>
    <w:qFormat/>
    <w:uiPriority w:val="0"/>
    <w:pPr>
      <w:numPr>
        <w:ilvl w:val="0"/>
        <w:numId w:val="3"/>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font5 Char"/>
    <w:link w:val="1"/>
    <w:qFormat/>
    <w:uiPriority w:val="0"/>
    <w:rPr>
      <w:rFonts w:ascii="宋体" w:hAnsi="宋体" w:eastAsia="宋体"/>
      <w:sz w:val="28"/>
      <w:szCs w:val="28"/>
      <w:lang w:val="en-US" w:eastAsia="zh-CN" w:bidi="ar-SA"/>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sz w:val="24"/>
      <w:szCs w:val="24"/>
      <w:lang w:eastAsia="en-US" w:bidi="en-US"/>
    </w:rPr>
  </w:style>
  <w:style w:type="character" w:customStyle="1" w:styleId="271">
    <w:name w:val="MSG_EN_FONT_STYLE_NAME_TEMPLATE_ROLE_NUMBER MSG_EN_FONT_STYLE_NAME_BY_ROLE_TEXT 2 + MSG_EN_FONT_STYLE_MODIFER_SIZE 8"/>
    <w:link w:val="1"/>
    <w:qFormat/>
    <w:uiPriority w:val="0"/>
    <w:rPr>
      <w:rFonts w:hint="eastAsia" w:ascii="PMingLiU" w:hAnsi="PMingLiU" w:eastAsia="PMingLiU" w:cs="PMingLiU"/>
      <w:spacing w:val="10"/>
      <w:sz w:val="16"/>
      <w:szCs w:val="16"/>
      <w:u w:val="none"/>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6">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7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 Char Char Char Char"/>
    <w:basedOn w:val="209"/>
    <w:qFormat/>
    <w:uiPriority w:val="0"/>
    <w:pPr>
      <w:spacing w:line="360" w:lineRule="auto"/>
    </w:pPr>
    <w:rPr>
      <w:rFonts w:ascii="Tahoma" w:hAnsi="Tahoma"/>
      <w:sz w:val="24"/>
      <w:szCs w:val="24"/>
    </w:rPr>
  </w:style>
  <w:style w:type="paragraph" w:customStyle="1" w:styleId="280">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8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2">
    <w:name w:val="列出段落2"/>
    <w:basedOn w:val="1"/>
    <w:qFormat/>
    <w:uiPriority w:val="0"/>
    <w:pPr>
      <w:ind w:firstLine="200"/>
    </w:pPr>
    <w:rPr>
      <w:rFonts w:ascii="Times New Roman" w:hAnsi="Times New Roman" w:eastAsia="宋体" w:cs="Times New Roman"/>
      <w:szCs w:val="20"/>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Body Text(ch)"/>
    <w:basedOn w:val="1"/>
    <w:next w:val="215"/>
    <w:qFormat/>
    <w:uiPriority w:val="0"/>
    <w:pPr>
      <w:spacing w:after="120"/>
    </w:pPr>
    <w:rPr>
      <w:rFonts w:ascii="宋体" w:hAnsi="Arial"/>
      <w:bCs/>
      <w:iCs/>
      <w:szCs w:val="24"/>
    </w:rPr>
  </w:style>
  <w:style w:type="paragraph" w:customStyle="1" w:styleId="28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w:basedOn w:val="209"/>
    <w:qFormat/>
    <w:uiPriority w:val="0"/>
    <w:pPr>
      <w:spacing w:line="360" w:lineRule="auto"/>
    </w:pPr>
    <w:rPr>
      <w:rFonts w:ascii="Tahoma" w:hAnsi="Tahoma"/>
      <w:sz w:val="24"/>
      <w:szCs w:val="24"/>
    </w:rPr>
  </w:style>
  <w:style w:type="paragraph" w:customStyle="1" w:styleId="288">
    <w:name w:val="Char"/>
    <w:basedOn w:val="1"/>
    <w:qFormat/>
    <w:uiPriority w:val="0"/>
    <w:pPr>
      <w:tabs>
        <w:tab w:val="left" w:pos="360"/>
      </w:tabs>
      <w:ind w:firstLine="200"/>
    </w:pPr>
    <w:rPr>
      <w:sz w:val="28"/>
      <w:szCs w:val="30"/>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 Char"/>
    <w:basedOn w:val="209"/>
    <w:qFormat/>
    <w:uiPriority w:val="0"/>
    <w:rPr>
      <w:rFonts w:ascii="Tahoma" w:hAnsi="Tahoma"/>
      <w:sz w:val="24"/>
      <w:szCs w:val="24"/>
    </w:rPr>
  </w:style>
  <w:style w:type="paragraph" w:customStyle="1" w:styleId="29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239"/>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 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numPr>
        <w:ilvl w:val="0"/>
        <w:numId w:val="4"/>
      </w:numPr>
    </w:pPr>
    <w:rPr>
      <w:rFonts w:ascii="宋体" w:hAnsi="宋体"/>
    </w:rPr>
  </w:style>
  <w:style w:type="paragraph" w:customStyle="1" w:styleId="29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table_1stline"/>
    <w:basedOn w:val="1"/>
    <w:qFormat/>
    <w:uiPriority w:val="0"/>
    <w:pPr>
      <w:widowControl/>
      <w:spacing w:before="120"/>
      <w:jc w:val="left"/>
    </w:pPr>
    <w:rPr>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纯文本1"/>
    <w:basedOn w:val="1"/>
    <w:qFormat/>
    <w:uiPriority w:val="0"/>
    <w:rPr>
      <w:rFonts w:ascii="宋体" w:hAnsi="Courier New" w:cs="Courier New"/>
    </w:rPr>
  </w:style>
  <w:style w:type="paragraph" w:customStyle="1" w:styleId="305">
    <w:name w:val="Table Paragraph"/>
    <w:basedOn w:val="1"/>
    <w:qFormat/>
    <w:uiPriority w:val="1"/>
    <w:pPr>
      <w:spacing w:before="178"/>
      <w:jc w:val="right"/>
    </w:pPr>
    <w:rPr>
      <w:rFonts w:ascii="宋体" w:hAnsi="宋体" w:eastAsia="宋体" w:cs="宋体"/>
      <w:lang w:val="zh-CN" w:eastAsia="zh-CN" w:bidi="zh-CN"/>
    </w:rPr>
  </w:style>
  <w:style w:type="paragraph" w:customStyle="1" w:styleId="306">
    <w:name w:val="标题二、"/>
    <w:basedOn w:val="1"/>
    <w:qFormat/>
    <w:uiPriority w:val="99"/>
    <w:pPr>
      <w:spacing w:line="360" w:lineRule="auto"/>
      <w:ind w:firstLine="200"/>
      <w:outlineLvl w:val="2"/>
    </w:pPr>
    <w:rPr>
      <w:rFonts w:ascii="宋体" w:hAnsi="宋体"/>
      <w:b/>
      <w:szCs w:val="21"/>
    </w:rPr>
  </w:style>
  <w:style w:type="character" w:customStyle="1" w:styleId="307">
    <w:name w:val="NormalCharacter1"/>
    <w:link w:val="1"/>
    <w:semiHidden/>
    <w:qFormat/>
    <w:uiPriority w:val="0"/>
    <w:rPr>
      <w:rFonts w:ascii="Tahoma" w:hAnsi="Tahoma"/>
      <w:sz w:val="24"/>
      <w:szCs w:val="24"/>
      <w:lang w:val="en-US" w:eastAsia="zh-CN" w:bidi="ar-SA"/>
    </w:rPr>
  </w:style>
  <w:style w:type="paragraph" w:customStyle="1" w:styleId="308">
    <w:name w:val="无间隔2"/>
    <w:basedOn w:val="1"/>
    <w:qFormat/>
    <w:uiPriority w:val="0"/>
    <w:pPr>
      <w:keepNext w:val="0"/>
      <w:keepLines w:val="0"/>
      <w:widowControl/>
      <w:suppressLineNumbers w:val="0"/>
      <w:spacing w:before="0" w:beforeAutospacing="0" w:after="0" w:afterAutospacing="0"/>
      <w:ind w:left="0" w:right="0"/>
      <w:jc w:val="left"/>
    </w:pPr>
    <w:rPr>
      <w:rFonts w:ascii="Tahoma" w:hAnsi="Tahoma" w:eastAsia="微软雅黑" w:cs="黑体"/>
      <w:sz w:val="22"/>
      <w:szCs w:val="22"/>
      <w:lang w:val="en-US" w:eastAsia="zh-CN" w:bidi="ar"/>
    </w:rPr>
  </w:style>
  <w:style w:type="paragraph" w:customStyle="1" w:styleId="309">
    <w:name w:val="文本块1"/>
    <w:basedOn w:val="1"/>
    <w:unhideWhenUsed/>
    <w:qFormat/>
    <w:uiPriority w:val="0"/>
    <w:pPr>
      <w:spacing w:after="120"/>
      <w:ind w:left="1440" w:right="1440"/>
    </w:pPr>
    <w:rPr>
      <w:rFonts w:ascii="Times New Roman" w:hAnsi="Times New Roman"/>
      <w:szCs w:val="20"/>
    </w:rPr>
  </w:style>
  <w:style w:type="paragraph" w:customStyle="1" w:styleId="310">
    <w:name w:val="正文文本首行缩进 2"/>
    <w:basedOn w:val="217"/>
    <w:qFormat/>
    <w:uiPriority w:val="99"/>
    <w:pPr>
      <w:spacing w:line="360" w:lineRule="auto"/>
      <w:ind w:firstLine="200"/>
    </w:pPr>
    <w:rPr>
      <w:rFonts w:ascii="宋体" w:eastAsia="宋体"/>
      <w:sz w:val="21"/>
      <w:szCs w:val="20"/>
    </w:rPr>
  </w:style>
  <w:style w:type="paragraph" w:customStyle="1" w:styleId="311">
    <w:name w:val="正文首行缩进11"/>
    <w:qFormat/>
    <w:uiPriority w:val="0"/>
    <w:pPr>
      <w:widowControl w:val="0"/>
      <w:spacing w:line="360" w:lineRule="auto"/>
      <w:ind w:firstLine="200"/>
      <w:jc w:val="both"/>
    </w:pPr>
    <w:rPr>
      <w:rFonts w:hint="default" w:ascii="仿宋_GB2312" w:hAnsi="Times New Roman" w:eastAsia="仿宋_GB2312" w:cs="Times New Roman"/>
      <w:sz w:val="30"/>
      <w:szCs w:val="30"/>
      <w:lang w:val="en-US" w:eastAsia="en-US" w:bidi="ar-SA"/>
    </w:rPr>
  </w:style>
  <w:style w:type="paragraph" w:customStyle="1" w:styleId="312">
    <w:name w:val="正文文本11"/>
    <w:next w:val="1"/>
    <w:qFormat/>
    <w:uiPriority w:val="0"/>
    <w:pPr>
      <w:widowControl w:val="0"/>
      <w:jc w:val="both"/>
    </w:pPr>
    <w:rPr>
      <w:rFonts w:hint="default" w:ascii="楷体_GB2312" w:hAnsi="Arial" w:eastAsia="楷体_GB2312" w:cs="Times New Roman"/>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57</Pages>
  <Words>23808</Words>
  <Characters>25237</Characters>
  <TotalTime>0</TotalTime>
  <ScaleCrop>false</ScaleCrop>
  <LinksUpToDate>false</LinksUpToDate>
  <CharactersWithSpaces>26592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lee   -_-</cp:lastModifiedBy>
  <dcterms:modified xsi:type="dcterms:W3CDTF">2025-10-13T01:57:23Z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eyJoZGlkIjoiNTA1YzFkZmYwM2U5YjkyMGY3ODllYmRmNjY0ZDQwMTMiLCJ1c2VySWQiOiIyMDc0Mjk1MDAifQ==</vt:lpwstr>
  </property>
  <property fmtid="{D5CDD505-2E9C-101B-9397-08002B2CF9AE}" pid="3" name="KSOProductBuildVer">
    <vt:lpwstr>2052-12.1.0.22529</vt:lpwstr>
  </property>
  <property fmtid="{D5CDD505-2E9C-101B-9397-08002B2CF9AE}" pid="4" name="ICV">
    <vt:lpwstr>3243C539D7A74EC3893E1CBA47D438FA_13</vt:lpwstr>
  </property>
</Properties>
</file>